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09.10.2026  |  6 Studien  |  diabetes.m-vf.de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Vegane Ernährung senkt Insulinresistenz und verbessert Betazellenfunktion bei Typ-2-Diabetes</w:t>
      </w:r>
    </w:p>
    <w:p>
      <w:r>
        <w:rPr>
          <w:i/>
          <w:color w:val="666666"/>
          <w:sz w:val="18"/>
        </w:rPr>
        <w:t>Kahleova H et al.  ·  BMJ Open Diabetes Res Care  ·  08.10.2026  ·  PMID 42850024</w:t>
      </w:r>
    </w:p>
    <w:p>
      <w:r>
        <w:t>16-Wochen-Einzelarm-Studie mit 25 Erwachsenen mit Typ-2-Diabetes zu Effekten einer fettarmen pflanzlichen Diät auf ektopische Fette, Insulinsensitivität und Betazellenfunktion.</w:t>
      </w:r>
    </w:p>
    <w:p>
      <w:r>
        <w:rPr>
          <w:b/>
        </w:rPr>
        <w:t xml:space="preserve">Ergebnis: </w:t>
      </w:r>
      <w:r>
        <w:t>Körpergewicht –6,6 %; hepatozelluläre Lipide –33,0 %; HOMA-IR fiel um 2,5 (p=0,004); postprandiale Insulinsensitivität stieg um 1,3 mg/min/kg (p=0,002); Betazellenfunktion (Insulinsekretion, Glukosesensitivität) verbessert sich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USA-Setting, alimentäre Intervention ohne Hilfsmittel; Mechanismus auf Insulinresistenz übertragbar auf deutsches Versorgungssystem.</w:t>
      </w:r>
    </w:p>
    <w:p>
      <w:r>
        <w:rPr>
          <w:color w:val="5A7D3A"/>
          <w:sz w:val="18"/>
        </w:rPr>
        <w:t>https://pubmed.ncbi.nlm.nih.gov/42850024/</w:t>
      </w:r>
    </w:p>
    <w:p>
      <w:pPr>
        <w:pStyle w:val="Heading2"/>
      </w:pPr>
      <w:r>
        <w:t>Finanzielle Belastung und Lebenszufriedenheit erhöhen Depressionsrisiko bei Diabetes</w:t>
      </w:r>
    </w:p>
    <w:p>
      <w:r>
        <w:rPr>
          <w:i/>
          <w:color w:val="666666"/>
          <w:sz w:val="18"/>
        </w:rPr>
        <w:t>Liu S et al.  ·  BMJ Open Diabetes Res Care  ·  08.10.2026  ·  PMID 42850023</w:t>
      </w:r>
    </w:p>
    <w:p>
      <w:r>
        <w:t>Niederländische Populationskohortenstudie mit 152.861 Erwachsenen ohne Diabetes zu psychosozialen Stressoren und Entwicklung von Prädiabetes und Typ-2-Diabetes während 4–12 Jahren Nachbeobachtung.</w:t>
      </w:r>
    </w:p>
    <w:p>
      <w:r>
        <w:rPr>
          <w:b/>
        </w:rPr>
        <w:t xml:space="preserve">Ergebnis: </w:t>
      </w:r>
      <w:r>
        <w:t>Finanzielle Belastung assoziiert mit Prädiabetes (HR 1,17) und Typ-2-Diabetes (HR 1,28); hohe Einsamkeit, soziale Isolation und niedrige Lebenszufriedenheit erhöhten Depressionsrisiko um bis zu 493 % in Diabetespatienten. Stress wirkt primär über soziookonomische und Lebensstil-Faktoren.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Versicherungssystem, dokumentierte psychosoziale Risiken relevant für deutsches DMP-Design.</w:t>
      </w:r>
    </w:p>
    <w:p>
      <w:r>
        <w:rPr>
          <w:color w:val="5A7D3A"/>
          <w:sz w:val="18"/>
        </w:rPr>
        <w:t>https://pubmed.ncbi.nlm.nih.gov/42850023/</w:t>
      </w:r>
    </w:p>
    <w:p>
      <w:pPr>
        <w:pStyle w:val="Heading2"/>
      </w:pPr>
      <w:r>
        <w:t>Milde Dysglykämie und einzelne Inselautoantiköper identifizieren Typ-1-Progression auch außerhalb gängiger Staging-Kriterien</w:t>
      </w:r>
    </w:p>
    <w:p>
      <w:r>
        <w:rPr>
          <w:i/>
          <w:color w:val="666666"/>
          <w:sz w:val="18"/>
        </w:rPr>
        <w:t>Anson M et al.  ·  Diabet Med  ·  07.10.2026  ·  PMID 42844748</w:t>
      </w:r>
    </w:p>
    <w:p>
      <w:r>
        <w:t>TriNetX-Netzwerkstudie mit 7.000 Autoantikörper-positiven Personen ohne T1D; Kohorten stratifiziert nach HbA1c (≤5,6 % vs. 5,7–6,4 %) und Autoantikörperlast (ein vs. zwei); Follow-up 3 Jahre, Endpunkt: klinisch kodierter T1D.</w:t>
      </w:r>
    </w:p>
    <w:p>
      <w:r>
        <w:rPr>
          <w:b/>
        </w:rPr>
        <w:t xml:space="preserve">Ergebnis: </w:t>
      </w:r>
      <w:r>
        <w:t>Bei HbA1c ≤5,6 %: Kinder 4,13× höheres Progressionsrisiko als Erwachsene (zwei Autoantikörper: HR 7,03). Bei Dysglykämie (5,7–6,4 %): Paediatrie-Gradient bleibt (zwei Autoantikörper HR 4,22). Erhöhtes HbA1c erhöhte Progression bei Ein-Antikörper (Kinder HR 1,44; Erwachsene HR 2,94), nicht signifikant bei Zwei-Antikörpern.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globale TriNetX-Daten; identifiziert Progressionsrisiko außerhalb aktueller Staging-Kriterien, relevant für deutsches Screening-Modell.</w:t>
      </w:r>
    </w:p>
    <w:p>
      <w:r>
        <w:rPr>
          <w:color w:val="5A7D3A"/>
          <w:sz w:val="18"/>
        </w:rPr>
        <w:t>https://pubmed.ncbi.nlm.nih.gov/42844748/</w:t>
      </w:r>
    </w:p>
    <w:p>
      <w:pPr>
        <w:pStyle w:val="Heading2"/>
      </w:pPr>
      <w:r>
        <w:t>CGM misst Betazellenfunktion früher als OGTT bei Typ-1-Autoimmunität</w:t>
      </w:r>
    </w:p>
    <w:p>
      <w:r>
        <w:rPr>
          <w:i/>
          <w:color w:val="666666"/>
          <w:sz w:val="18"/>
        </w:rPr>
        <w:t>Marchiori H et al.  ·  Diabetologia  ·  07.10.2026  ·  PMID 42841917</w:t>
      </w:r>
    </w:p>
    <w:p>
      <w:r>
        <w:t>Prospektive Validierungsstudie mit 24 Autoantikörper-positiven Personen ohne Insulinbedarf zum Vergleich von CGM-abgeleiteter Disposition Index mit OGTT-Referenz und 1-Jahr-Outcome.</w:t>
      </w:r>
    </w:p>
    <w:p>
      <w:r>
        <w:rPr>
          <w:b/>
        </w:rPr>
        <w:t xml:space="preserve">Ergebnis: </w:t>
      </w:r>
      <w:r>
        <w:t>CGM-DI korreliert mit OGTT-DI (r=0,90; p&lt;0,001). Niedrigere Baseline-DICGM assoziiert mit höherer Zeit &gt;140 mg/dl im 1-Jahr-Follow-up (r=−0,61; p=0,014) und höherem mittleren Sensorglukoseniveau (r=−0,62; p=0,020).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Yale/Harvard USA, aber CGM-Verfahren technikunabhängig; stellt Basis für Staging früher Typ-1-Diabetes dar, relevant für deutsches Screening.</w:t>
      </w:r>
    </w:p>
    <w:p>
      <w:r>
        <w:rPr>
          <w:color w:val="5A7D3A"/>
          <w:sz w:val="18"/>
        </w:rPr>
        <w:t>https://pubmed.ncbi.nlm.nih.gov/42841917/</w:t>
      </w:r>
    </w:p>
    <w:p>
      <w:pPr>
        <w:pStyle w:val="Heading2"/>
      </w:pPr>
      <w:r>
        <w:t>CGM-Parameter TA140 ersetzt OGTT für Progression-Vorhersage bei frühem Typ-1-Diabetes</w:t>
      </w:r>
    </w:p>
    <w:p>
      <w:r>
        <w:rPr>
          <w:i/>
          <w:color w:val="666666"/>
          <w:sz w:val="18"/>
        </w:rPr>
        <w:t>Steck AK et al.  ·  J Clin Endocrinol Metab  ·  07.10.2026  ·  PMID 42839276</w:t>
      </w:r>
    </w:p>
    <w:p>
      <w:r>
        <w:t>Metaanalyse von 152 früh-Stadium-T1D-Personen mit CGM, OGTT und HbA1c; Vergleich von ROC-Kurven und Progression zum Stadium 3 über 54 Monate.</w:t>
      </w:r>
    </w:p>
    <w:p>
      <w:r>
        <w:rPr>
          <w:b/>
        </w:rPr>
        <w:t xml:space="preserve">Ergebnis: </w:t>
      </w:r>
      <w:r>
        <w:t>TA140 &gt;10 % und 2-Stunden-Glukose &gt;140 mg/dl: identische Sensitivität 55 %, Spezifität 83 %, NPV 88 % für Stadium-3-Vorhersage nach 2 Jahren. TA140 &gt;15 % war gleichstarker Prädiktor wie HbA1c ≥5,7 % und 2-Stunden-Glukose &gt;140 mg/dl (Kaplan-Meier-Kurven superponierbar).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USA-Multizenterstudie, aber CGM-Metrik objektiv; definiert CGM-Schwellenwerte für T1D-Stadien, ersetzt invasiven OGTT als Monitoring-Standard.</w:t>
      </w:r>
    </w:p>
    <w:p>
      <w:r>
        <w:rPr>
          <w:color w:val="5A7D3A"/>
          <w:sz w:val="18"/>
        </w:rPr>
        <w:t>https://pubmed.ncbi.nlm.nih.gov/42839276/</w:t>
      </w:r>
    </w:p>
    <w:p>
      <w:pPr>
        <w:pStyle w:val="Heading2"/>
      </w:pPr>
      <w:r>
        <w:t>Diabetische Nephropathie: USA zeigt steigende Mortalität, China Rückgang</w:t>
      </w:r>
    </w:p>
    <w:p>
      <w:r>
        <w:rPr>
          <w:i/>
          <w:color w:val="666666"/>
          <w:sz w:val="18"/>
        </w:rPr>
        <w:t>Yang Z et al.  ·  Diabetes Res Clin Pract  ·  03.09.2026  ·  PMID 42692262</w:t>
      </w:r>
    </w:p>
    <w:p>
      <w:r>
        <w:t>Globale Burden-of-Disease-Vergleichsstudie 1990–2023 für Typ-1- und Typ-2-Diabetes-assoziierte Nierenerkrankung in China, USA und UK.</w:t>
      </w:r>
    </w:p>
    <w:p>
      <w:r>
        <w:rPr>
          <w:b/>
        </w:rPr>
        <w:t xml:space="preserve">Ergebnis: </w:t>
      </w:r>
      <w:r>
        <w:t>Typ-2-DKD-Mortalität in USA 8,42 pro 100.000 (vs. China 1,27); USA AAPC +4,8 % über Studienperiode. China zeigte Rückgang, höchste Raten in älteren Altersgruppen; Adipositas hatte höchste modellbasierte populationsattribuierbare Fraktion in USA.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zur DKD-Mortalität fehlen; Studienmuster unterstreicht Bedeutung regionaler Prävention.</w:t>
      </w:r>
    </w:p>
    <w:p>
      <w:r>
        <w:rPr>
          <w:color w:val="5A7D3A"/>
          <w:sz w:val="18"/>
        </w:rPr>
        <w:t>https://pubmed.ncbi.nlm.nih.gov/42692262/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