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09.10.2026  |  182 Studien  |  diabetes.m-vf.de</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Finanzielle Belastung und Lebenszufriedenheit erhöhen Depressionsrisiko bei Diabetes</w:t>
      </w:r>
    </w:p>
    <w:p>
      <w:r>
        <w:rPr>
          <w:i/>
          <w:color w:val="666666"/>
          <w:sz w:val="18"/>
        </w:rPr>
        <w:t>Liu S et al.  ·  BMJ Open Diabetes Res Care  ·  08.10.2026  ·  PMID 42850023</w:t>
      </w:r>
    </w:p>
    <w:p>
      <w:r>
        <w:t>Niederländische Populationskohortenstudie mit 152.861 Erwachsenen ohne Diabetes zu psychosozialen Stressoren und Entwicklung von Prädiabetes und Typ-2-Diabetes während 4–12 Jahren Nachbeobachtung.</w:t>
      </w:r>
    </w:p>
    <w:p>
      <w:r>
        <w:rPr>
          <w:b/>
        </w:rPr>
        <w:t xml:space="preserve">Ergebnis: </w:t>
      </w:r>
      <w:r>
        <w:t>Finanzielle Belastung assoziiert mit Prädiabetes (HR 1,17) und Typ-2-Diabetes (HR 1,28); hohe Einsamkeit, soziale Isolation und niedrige Lebenszufriedenheit erhöhten Depressionsrisiko um bis zu 493 % in Diabetespatienten. Stress wirkt primär über soziookonomische und Lebensstil-Faktoren.</w:t>
      </w:r>
    </w:p>
    <w:p>
      <w:r>
        <w:rPr>
          <w:b/>
          <w:sz w:val="19"/>
        </w:rPr>
        <w:t xml:space="preserve">Übertragbarkeit: </w:t>
      </w:r>
      <w:r>
        <w:rPr>
          <w:sz w:val="19"/>
        </w:rPr>
        <w:t>Niederlande, vergleichbares Versicherungssystem, dokumentierte psychosoziale Risiken relevant für deutsches DMP-Design.</w:t>
      </w:r>
    </w:p>
    <w:p>
      <w:r>
        <w:rPr>
          <w:color w:val="5A7D3A"/>
          <w:sz w:val="18"/>
        </w:rPr>
        <w:t>https://pubmed.ncbi.nlm.nih.gov/42850023/</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