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30.09.2026  |  6 Studien  |  diabetes.m-vf.de</w:t>
      </w:r>
    </w:p>
    <w:p>
      <w:pPr>
        <w:pStyle w:val="Heading1"/>
      </w:pPr>
      <w:r>
        <w:t>Aufgenommen am 30.09.2026</w:t>
      </w:r>
    </w:p>
    <w:p>
      <w:pPr>
        <w:pStyle w:val="Heading2"/>
      </w:pPr>
      <w:r>
        <w:t>Automatisierte Insulinabgabe verbessert Glukosekontrolle bei älteren Typ-1-Diabetikern</w:t>
      </w:r>
    </w:p>
    <w:p>
      <w:r>
        <w:rPr>
          <w:i/>
          <w:color w:val="666666"/>
          <w:sz w:val="18"/>
        </w:rPr>
        <w:t>Oktavian P et al.  ·  J Clin Endocrinol Metab  ·  30.09.2026  ·  PMID 42810730</w:t>
      </w:r>
    </w:p>
    <w:p>
      <w:r>
        <w:t>Systematische Übersicht und Metaanalyse von 23 Studien (967 Teilnehmer, ≥60 Jahre oder mit erhöhtem Risiko) zu Effektivität und Sicherheit automatisierter Insulinpumpen (AID).</w:t>
      </w:r>
    </w:p>
    <w:p>
      <w:r>
        <w:rPr>
          <w:b/>
        </w:rPr>
        <w:t xml:space="preserve">Ergebnis: </w:t>
      </w:r>
      <w:r>
        <w:t>AID erhöhte Time-in-Range um 11,38% (95%-KI 8,07-14,70; p&lt;0,0001), äquivalent 2,7 Stunden/Tag. Verbesserung tagsüber 8,70% und nachts 13,35%. Hypergykämiezeit sank um 7,89%, Hypoglykämiezeit um 1,16%. Keine signifikanten Unterschiede bei psychosozialem Wohlbefinden oder schweren Nebenwirkungen. Sicherheitsprofil günstig.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Studien, Technologie-Sicherheit unabhängig von Gesundheitssystem</w:t>
      </w:r>
    </w:p>
    <w:p>
      <w:r>
        <w:rPr>
          <w:color w:val="5A7D3A"/>
          <w:sz w:val="18"/>
        </w:rPr>
        <w:t>https://pubmed.ncbi.nlm.nih.gov/42810730/</w:t>
      </w:r>
    </w:p>
    <w:p>
      <w:pPr>
        <w:pStyle w:val="Heading2"/>
      </w:pPr>
      <w:r>
        <w:t>Retatrutide reduziert Körpergewicht und verbessert Glukosekontrolle bei Adipositas und Typ-2-Diabetes</w:t>
      </w:r>
    </w:p>
    <w:p>
      <w:r>
        <w:rPr>
          <w:i/>
          <w:color w:val="666666"/>
          <w:sz w:val="18"/>
        </w:rPr>
        <w:t>Bellido V et al.  ·  Lancet  ·  29.09.2026  ·  PMID 42810372</w:t>
      </w:r>
    </w:p>
    <w:p>
      <w:r>
        <w:t>Randomisierte placebokontrollierte Phase-3-Studie (TRIUMPH-2) an 1.152 Patienten mit Adipositas (BMI ≥27) und Typ-2-Diabetes (HbA1c 6,5-10,5%) über 80 Wochen; Tripel-Agonist GIP/GLP-1/Glukagon.</w:t>
      </w:r>
    </w:p>
    <w:p>
      <w:r>
        <w:rPr>
          <w:b/>
        </w:rPr>
        <w:t xml:space="preserve">Ergebnis: </w:t>
      </w:r>
      <w:r>
        <w:t>Gewichtsabnahme: Retatrutide 4mg -11,9%, 9mg -16,8%, 12mg -18,8% vs. Placebo -5,1%. Unterschiede zu Placebo: 4mg -6,9%, 9mg -11,8%, 12mg -13,8% (alle p&lt;0,0001). Häufigste Nebenwirkungen gastrointestinal (Diarrhö bis 34%, Übelkeit bis 28%). Behandlungsabbruch wegen Nebenwirkungen: 9mg 12%, 12mg 8%. Sicherheitsprofil mit GLP-1-Agonisten vergleichbar.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Studie, mehrere europäische Zentren, Ergebnis für deutsche Versorgung relevant</w:t>
      </w:r>
    </w:p>
    <w:p>
      <w:r>
        <w:rPr>
          <w:color w:val="5A7D3A"/>
          <w:sz w:val="18"/>
        </w:rPr>
        <w:t>https://pubmed.ncbi.nlm.nih.gov/42810372/</w:t>
      </w:r>
    </w:p>
    <w:p>
      <w:pPr>
        <w:pStyle w:val="Heading2"/>
      </w:pPr>
      <w:r>
        <w:t>Schlafapnoe und Schlafqualität bei älteren Typ-1-Diabetikern häufig und mit HbA1c assoziiert</w:t>
      </w:r>
    </w:p>
    <w:p>
      <w:r>
        <w:rPr>
          <w:i/>
          <w:color w:val="666666"/>
          <w:sz w:val="18"/>
        </w:rPr>
        <w:t>Martin CL et al.  ·  Diabetes Care  ·  29.09.2026  ·  PMID 42809017</w:t>
      </w:r>
    </w:p>
    <w:p>
      <w:r>
        <w:t>DCCT/EDIC-Kohorte mit 963 älteren (64±7 Jahre) Typ-1-Diabetikern (Dauer 43±5 Jahre) zur Prävalenz von Schlafstörungen und ihren Risikofaktoren mittels validierter Fragebögen.</w:t>
      </w:r>
    </w:p>
    <w:p>
      <w:r>
        <w:rPr>
          <w:b/>
        </w:rPr>
        <w:t xml:space="preserve">Ergebnis: </w:t>
      </w:r>
      <w:r>
        <w:t>Diagnostizierte Schlafapnoe 29%, laufende PAP-Therapie 19%, erhöhtes Schlafapnoe-Risiko 64%, schlechte Schlafqualität 43%, Tagesmüdigkeit 10%. Jede 1%-ige HbA1c-Steigerung: 15-20% höhere Odds für Schlafprobleme. Kardiovaskuläre Autonome Neuropathie assoziiert mit höherem OSA-Risiko; Albuminurie und schwere Hypoglykämien mit schlechterer Schlafqualität. Ältere Typ-1-Diabetiker-Langzeitdaten aus US-Kohorte.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USA-Kohorte, aber Schlaf-Diabetes-Assoziation unabhängig vom Gesundheitssystem</w:t>
      </w:r>
    </w:p>
    <w:p>
      <w:r>
        <w:rPr>
          <w:color w:val="5A7D3A"/>
          <w:sz w:val="18"/>
        </w:rPr>
        <w:t>https://pubmed.ncbi.nlm.nih.gov/42809017/</w:t>
      </w:r>
    </w:p>
    <w:p>
      <w:pPr>
        <w:pStyle w:val="Heading2"/>
      </w:pPr>
      <w:r>
        <w:t>GLP-1-Rezeptoragonisten in Schwangerschaft ohne erhöhtes Malformationsrisiko</w:t>
      </w:r>
    </w:p>
    <w:p>
      <w:r>
        <w:rPr>
          <w:i/>
          <w:color w:val="666666"/>
          <w:sz w:val="18"/>
        </w:rPr>
        <w:t>Collier M et al.  ·  Diabetologia  ·  29.09.2026  ·  PMID 42809004</w:t>
      </w:r>
    </w:p>
    <w:p>
      <w:r>
        <w:t>Französische Populationskohortenstudie aus nationalem Gesundheitssystem (2011-2024) an 19.092 Schwangerschaften mit Typ-2-Diabetes; Vergleich von Glukose-Lowering-Agentien im ersten Trimenon auf Kongenitale Malformationen.</w:t>
      </w:r>
    </w:p>
    <w:p>
      <w:r>
        <w:rPr>
          <w:b/>
        </w:rPr>
        <w:t xml:space="preserve">Ergebnis: </w:t>
      </w:r>
      <w:r>
        <w:t>17,5% Insulinmonotherapie, 34,7% Second-Line-Agentien (GLP-1RA, SGLT2i, DPP-4i), 10,4% keine Therapie. Second-Line-Exposition vs. Insulin allein: kein erhöhtes Risiko für Gesamt- oder organspezifische Malformationen. Sensitivitätsanalysen deuteten auf mögliches kleines erhöhtes Herzmalformationsrisiko mit GLP-1RA und Sulfonylharnstoffen hin (nicht bestätigt).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Französisches Gesundheitsdaten-Register, direkt auf deutsche Verordnungspraxis übertragbar</w:t>
      </w:r>
    </w:p>
    <w:p>
      <w:r>
        <w:rPr>
          <w:color w:val="5A7D3A"/>
          <w:sz w:val="18"/>
        </w:rPr>
        <w:t>https://pubmed.ncbi.nlm.nih.gov/42809004/</w:t>
      </w:r>
    </w:p>
    <w:p>
      <w:pPr>
        <w:pStyle w:val="Heading2"/>
      </w:pPr>
      <w:r>
        <w:t>MACS bei Typ-2-Diabetes mit erhöhter Mortalität assoziiert</w:t>
      </w:r>
    </w:p>
    <w:p>
      <w:r>
        <w:rPr>
          <w:i/>
          <w:color w:val="666666"/>
          <w:sz w:val="18"/>
        </w:rPr>
        <w:t>Bellach L et al.  ·  Cardiovasc Diabetol  ·  22.09.2026  ·  PMID 42806332</w:t>
      </w:r>
    </w:p>
    <w:p>
      <w:r>
        <w:t>Retrospektive Kohortenstudie an 668 Patienten mit Nebennierenadenom, davon 151 mit Typ-2-Diabetes, zu Assoziation zwischen milder autonomer Kortisolsekretion (MACS) und Mortalität.</w:t>
      </w:r>
    </w:p>
    <w:p>
      <w:r>
        <w:rPr>
          <w:b/>
        </w:rPr>
        <w:t xml:space="preserve">Ergebnis: </w:t>
      </w:r>
      <w:r>
        <w:t>Bei Patienten mit Typ-2-Diabetes war MACS mit verdoppelter Mortalität assoziiert (HR 2,51, 95%-KI 1,41-4,48, p&lt;0,01), aber nicht bei Patienten ohne Diabetes. MACS-Patienten mit Diabetes hatten erhöhte HbA1c und 3-fach erhöhte kardiovaskuläre Erkrankungsprävalenz. In dieser selektionierten Gruppe Österreichischer Klinikdaten zeigt sich eine klinisch bedeutsame 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Österreichische Universitätsklinik, vergleichbares Sozialversicherungssystem</w:t>
      </w:r>
    </w:p>
    <w:p>
      <w:r>
        <w:rPr>
          <w:color w:val="5A7D3A"/>
          <w:sz w:val="18"/>
        </w:rPr>
        <w:t>https://pubmed.ncbi.nlm.nih.gov/42806332/</w:t>
      </w:r>
    </w:p>
    <w:p>
      <w:pPr>
        <w:pStyle w:val="Heading2"/>
      </w:pPr>
      <w:r>
        <w:t>GAD-Alum verzögert Progression zu Typ-1-Diabetes bei HLA-DR3-DQ2-positiven Kindern</w:t>
      </w:r>
    </w:p>
    <w:p>
      <w:r>
        <w:rPr>
          <w:i/>
          <w:color w:val="666666"/>
          <w:sz w:val="18"/>
        </w:rPr>
        <w:t>Samuelsson H et al.  ·  Diabetologia  ·  28.09.2026  ·  PMID 42806034</w:t>
      </w:r>
    </w:p>
    <w:p>
      <w:r>
        <w:t>Langzeit-Follow-up (Median 12,9 Jahre) der randomisierten placebokontrollierten DiAPREV-IT-Studie (n=50 Kinder mit GADA und ≥1 zusätzlichem Inselzellautoantikörper) zur Effektivität von GAD-alum bei Verzögerung von Stadium-3-Typ-1-Diabetes nach HLA-Haplotyp.</w:t>
      </w:r>
    </w:p>
    <w:p>
      <w:r>
        <w:rPr>
          <w:b/>
        </w:rPr>
        <w:t xml:space="preserve">Ergebnis: </w:t>
      </w:r>
      <w:r>
        <w:t>Gesamtpopulation: GAD-alum zeigte keinen signifikanten Effekt (HR 1,017, 95%-KI 0,523-1,977). Bei HLA-DR3-DQ2-positiven Kindern (n=27): GAD-alum verzögerte signifikant Progression zu Stadium 3 (HR 0,315, 95%-KI 0,120-0,823, p=0,018); medianer Zeitpunkt 9,0 Jahre (GAD-alum) vs. 3,4 Jahre (Placebo). Ohne HLA-DR3-DQ2 (n=22): erhöhte Progressionsrate mit GAD-alum (HR 3,500, p=0,040). Schwedische Precision-Medicine-Studie mit genetischer Stratifizierung.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europäische Versorgungsstruktur, Precision-Medicine-Ansatz übertragbar</w:t>
      </w:r>
    </w:p>
    <w:p>
      <w:r>
        <w:rPr>
          <w:color w:val="5A7D3A"/>
          <w:sz w:val="18"/>
        </w:rPr>
        <w:t>https://pubmed.ncbi.nlm.nih.gov/42806034/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2026-09-30T06:00:00Z</dcterms:created>
  <dcterms:modified xsi:type="dcterms:W3CDTF">2026-09-30T06:00:00Z</dcterms:modified>
  <cp:category/>
</cp:coreProperties>
</file>