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17.10.2026  |  7 Studien  |  diabetes.m-vf.de</w:t>
      </w:r>
    </w:p>
    <w:p>
      <w:pPr>
        <w:pStyle w:val="Heading1"/>
      </w:pPr>
      <w:r>
        <w:t>Aufgenommen am 17.10.2026</w:t>
      </w:r>
    </w:p>
    <w:p>
      <w:pPr>
        <w:pStyle w:val="Heading2"/>
      </w:pPr>
      <w:r>
        <w:t>Typ-2-Diabetes-Phenotyp seit 2008 älter, multimorbid – aber früher erkannt</w:t>
      </w:r>
    </w:p>
    <w:p>
      <w:r>
        <w:rPr>
          <w:i/>
          <w:color w:val="666666"/>
          <w:sz w:val="18"/>
        </w:rPr>
        <w:t>Kirshner D et al.  ·  Diabetologia  ·  16.10.2026  ·  PMID 42886236</w:t>
      </w:r>
    </w:p>
    <w:p>
      <w:r>
        <w:t>Vergleich von 80.201 Patienten mit neuer Typ-2-Diabetes-Diagnose 2005–2008 gegenüber 101.392 Patienten 2020–2023 in Israel zu Alter, Begleiterkrankungen und initialer Therapiewahl.</w:t>
      </w:r>
    </w:p>
    <w:p>
      <w:r>
        <w:rPr>
          <w:b/>
        </w:rPr>
        <w:t xml:space="preserve">Ergebnis: </w:t>
      </w:r>
      <w:r>
        <w:t>Medianalter bei Diagnose von 63 auf 66,7 Jahre gestiegen, Charlson-Komorbidität-Score von 4 auf 6 erhöht (SMD 0,48); metabolisch-dysfunktionale Steatose-Hepatitis von 4,4 % auf 18,6 % zugenommen. HbA1c bei Diagnose sank von 56 auf 53 mmol/mol (7,3 % auf 7,0 %), LDL-Cholesterin von 2,90 auf 2,21 mmol/l. SGLT2-Hemmer innerhalb von 31–90 Tagen von 0,07 % auf 15,0 % gestiegen, GLP-1-Rezeptoragonisten von 0 % auf 11,1 %, Sulfonylharnstoffe von 20,8 % auf 4,5 % gesunken – Paradigmenwechsel weg von Glukose-, hin zu kardiorenalen und Gewichtszielen.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Israelische Klinikdaten; Versorgungsmuster vergleichbar mit westeuropäischen Systemen.</w:t>
      </w:r>
    </w:p>
    <w:p>
      <w:r>
        <w:rPr>
          <w:color w:val="5A7D3A"/>
          <w:sz w:val="18"/>
        </w:rPr>
        <w:t>https://pubmed.ncbi.nlm.nih.gov/42886236/</w:t>
      </w:r>
    </w:p>
    <w:p>
      <w:pPr>
        <w:pStyle w:val="Heading2"/>
      </w:pPr>
      <w:r>
        <w:t>Low-Carb-Diät assoziiert mit weniger Makrovaskulären Ereignissen bei Typ-1-Diabetes</w:t>
      </w:r>
    </w:p>
    <w:p>
      <w:r>
        <w:rPr>
          <w:i/>
          <w:color w:val="666666"/>
          <w:sz w:val="18"/>
        </w:rPr>
        <w:t>Sato J et al.  ·  J Diabetes Investig  ·  16.10.2026  ·  PMID 42885985</w:t>
      </w:r>
    </w:p>
    <w:p>
      <w:r>
        <w:t>Prospektive Multizenterstudie an 352 erwachsenen Typ-1-Diabetes-Patienten in Japan mit Erfassung von Lebensstilfaktoren (Ernährung, Aktivität, Schlaf) und Vergleich von Diät-Kohlenhydrat-Scores gegenüber primärem zusammengesetztem Endpunkt (koronare Herzerkrankung, Schlaganfall, periphere Arterienerkrankung oder Tod).</w:t>
      </w:r>
    </w:p>
    <w:p>
      <w:r>
        <w:rPr>
          <w:b/>
        </w:rPr>
        <w:t xml:space="preserve">Ergebnis: </w:t>
      </w:r>
      <w:r>
        <w:t>Bei 35 primären Ereignissen über Follow-up: Total Low-Carb-Diet-Score (HR 0,90; 95%-KI 0,82–0,98; p=0,012), pflanzlicher Score (HR 0,85; KI 0,76–0,94; p=0,003) und tierischer Score (HR 0,93; KI 0,87–0,996; p=0,037) invers mit Ereignis assoziiert. Pflanzen-Low-Carb-Score stärkster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Diabetesversorgung; Ernährungsanamnese-Fragebogen kulturabhängig.</w:t>
      </w:r>
    </w:p>
    <w:p>
      <w:r>
        <w:rPr>
          <w:color w:val="5A7D3A"/>
          <w:sz w:val="18"/>
        </w:rPr>
        <w:t>https://pubmed.ncbi.nlm.nih.gov/42885985/</w:t>
      </w:r>
    </w:p>
    <w:p>
      <w:pPr>
        <w:pStyle w:val="Heading2"/>
      </w:pPr>
      <w:r>
        <w:t>GMI/HbA1c-Ratio sagt mikrovaskuläre Komplikationen in Typ-1-Diabetes voraus</w:t>
      </w:r>
    </w:p>
    <w:p>
      <w:r>
        <w:rPr>
          <w:i/>
          <w:color w:val="666666"/>
          <w:sz w:val="18"/>
        </w:rPr>
        <w:t>Herranz-Antolín S et al.  ·  Diabetes Obes Metab  ·  15.10.2026  ·  PMID 42881122</w:t>
      </w:r>
    </w:p>
    <w:p>
      <w:r>
        <w:t>1.315 Patienten mit Typ-1-Diabetes unter CGM (Mindestabdeckung ≥80 % über 56 Tage) wurden nach GMI/HbA1c-Quotienten-Terzilen eingeteilt und auf Netzhaut-, Nieren- und Nervenbeteiligung untersucht.</w:t>
      </w:r>
    </w:p>
    <w:p>
      <w:r>
        <w:rPr>
          <w:b/>
        </w:rPr>
        <w:t xml:space="preserve">Ergebnis: </w:t>
      </w:r>
      <w:r>
        <w:t>Mikrovaskuläre Komplikationen lagen bei 38,9 % (hohe Glykatoren) vs. 28,2 % (Intermediate) vs. 23,7 % (niedrige Glykatoren); p&lt;0,001. Augenbeteiligung: 31 % vs. 20,2 % vs. 19,7 %; Nephropathie: 14,9 % vs. 8,3 % vs. 6,2 %; Polyneuropathie: 10,6 % vs. 6,8 % vs. 3,4 %. GMI/HbA1c-Ratio unabhängig assoziiert mit Komplikationen (OR 0,71; 95%-KI 0,61–0,81; p&lt;0,001) und Augenbeteiligung (OR 0,71; 95%-KI 0,61–0,82).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Multizenterstudie; CGM-Metriken verfügbar in deutschen DMP und Spezialisierungszentren.</w:t>
      </w:r>
    </w:p>
    <w:p>
      <w:r>
        <w:rPr>
          <w:color w:val="5A7D3A"/>
          <w:sz w:val="18"/>
        </w:rPr>
        <w:t>https://pubmed.ncbi.nlm.nih.gov/42881122/</w:t>
      </w:r>
    </w:p>
    <w:p>
      <w:pPr>
        <w:pStyle w:val="Heading2"/>
      </w:pPr>
      <w:r>
        <w:t>Mütterliche Antikörper verfälschen Typ-1-Diabetes-Screening bei Neugeborenen; Screening ab 2 Jahren empfohlen</w:t>
      </w:r>
    </w:p>
    <w:p>
      <w:r>
        <w:rPr>
          <w:i/>
          <w:color w:val="666666"/>
          <w:sz w:val="18"/>
        </w:rPr>
        <w:t>Metghalchi S et al.  ·  Diabetes Metab  ·  15.10.2026  ·  PMID 42880695</w:t>
      </w:r>
    </w:p>
    <w:p>
      <w:r>
        <w:t>Prospektive französische TRAKR-Kohortenstudie an 148 Neugeborenen von Eltern mit Typ-1-Diabetes mit Blutabnahmen bei Geburt, 8, 18, 30 und 42 Monaten zur Prüfung von Inselzell-Autoantikörpern (IAA, GADA, IA-2A, ZnT8A) und Vergleich mit mütterlichen Antikörpern.</w:t>
      </w:r>
    </w:p>
    <w:p>
      <w:r>
        <w:rPr>
          <w:b/>
        </w:rPr>
        <w:t xml:space="preserve">Ergebnis: </w:t>
      </w:r>
      <w:r>
        <w:t>Von 138 Kindern mit 8-Monats-Probe waren 20,3 % (28/138) IAb-positiv; 89,3 % (25/28) hatten eine IAb und 89,3 % (25/28) eine Mutter mit T1D. Von 21 IAb+-Kindern mit mütterlichen Daten teilten 85,7 % (18/21) Antikörper-Spezifität mit Mutter (überwiegend GADA 83,3 %). Neun GADA+-Kinder bei 8 Monaten: 6 zeigten Seroreversion bis 18 Monate, 1 bis 30 Monate. Alle 5 IAA+-Kinder zeigten Seroreversion bis 18 Monate. Ein Kind serokonvertierte später (Stage 3 bei 30 Monaten ohne Ketoazidose).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öffentliches Gesundheitssystem; Implikation für Screening-Protokolle und Elternberatung in Deutschland.</w:t>
      </w:r>
    </w:p>
    <w:p>
      <w:r>
        <w:rPr>
          <w:color w:val="5A7D3A"/>
          <w:sz w:val="18"/>
        </w:rPr>
        <w:t>https://pubmed.ncbi.nlm.nih.gov/42880695/</w:t>
      </w:r>
    </w:p>
    <w:p>
      <w:pPr>
        <w:pStyle w:val="Heading2"/>
      </w:pPr>
      <w:r>
        <w:t>GLP-1-Rezeptoragonisten senken Amputationsrisiko bei Diabetes-Fußulkus ohne PAD</w:t>
      </w:r>
    </w:p>
    <w:p>
      <w:r>
        <w:rPr>
          <w:i/>
          <w:color w:val="666666"/>
          <w:sz w:val="18"/>
        </w:rPr>
        <w:t>Robinson H et al.  ·  Diabetes Obes Metab  ·  14.10.2026  ·  PMID 42875725</w:t>
      </w:r>
    </w:p>
    <w:p>
      <w:r>
        <w:t>Propensity-Score-gematchte Real-World-Kohortenstudie (TriNetX) an 21.325 Patientenpaaren mit Typ-2-Diabetes und diabetischem Fußulkus, Vergleich GLP-1-RA vs. andere glucose-senkende Therapie über 5 Jahre.</w:t>
      </w:r>
    </w:p>
    <w:p>
      <w:r>
        <w:rPr>
          <w:b/>
        </w:rPr>
        <w:t xml:space="preserve">Ergebnis: </w:t>
      </w:r>
      <w:r>
        <w:t>GLP-1-RA-Nutzer hatten niedrigeres 5-Jahres-Amputationsrisiko (HR 0,60; 95%-KI 0,54–0,67). Assoziierung beschränkt auf Patienten ohne kodierte PAD (HR 0,21; KI 0,13–0,33) vs. mit PAD (HR 0,97; KI 0,78–1,20); HR-Ratio 0,21 (KI 0,13–0,36; p&lt;0,001). Gesamtmortalität auch niedriger (HR 0,48; KI 0,45–0,50). Befund stabil über sechs Sensitivitätsanalysen.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TriNetX-Netzwerk; Sicherheitsbefund und klinische Endpunkte übertragbar, Verursachung erfordert prospektive Studien.</w:t>
      </w:r>
    </w:p>
    <w:p>
      <w:r>
        <w:rPr>
          <w:color w:val="5A7D3A"/>
          <w:sz w:val="18"/>
        </w:rPr>
        <w:t>https://pubmed.ncbi.nlm.nih.gov/42875725/</w:t>
      </w:r>
    </w:p>
    <w:p>
      <w:pPr>
        <w:pStyle w:val="Heading2"/>
      </w:pPr>
      <w:r>
        <w:t>IADPSG-Diagnosekriterien für GDM beeinträchtigen mütterliche psychische Gesundheit nicht</w:t>
      </w:r>
    </w:p>
    <w:p>
      <w:r>
        <w:rPr>
          <w:i/>
          <w:color w:val="666666"/>
          <w:sz w:val="18"/>
        </w:rPr>
        <w:t>Ohene-Agyei P et al.  ·  Diabetes Res Clin Pract  ·  14.10.2026  ·  PMID 42874784</w:t>
      </w:r>
    </w:p>
    <w:p>
      <w:r>
        <w:t>Sekundäranalyse der GEMS-RCT mit 3.452 schwangeren Frauen, randomisiert zu niedrigeren (IADPSG) oder höheren (Neuseeland) GDM-Diagnosekriterien; Ergebnis: Angst, Depression, Lebensqualität bei 36 Wochen und 6 Monate postpartal.</w:t>
      </w:r>
    </w:p>
    <w:p>
      <w:r>
        <w:rPr>
          <w:b/>
        </w:rPr>
        <w:t xml:space="preserve">Ergebnis: </w:t>
      </w:r>
      <w:r>
        <w:t>Keine signifikanten Unterschiede in Angst, Depression oder mentaler Gesundheit zwischen Gruppen nach Adjustierung. Frauen mit milder GDM unter IADPSG-Kriterien berichteten bessere Allgemeingesundheit, Vitalität, soziale Funktionsfähigkeit und postpartale psychische Komponente (SF-36-Subskalen).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Australien/Neuseeland; vergleichbare Versorgungsstrukturen, validiertes RCT-Design.</w:t>
      </w:r>
    </w:p>
    <w:p>
      <w:r>
        <w:rPr>
          <w:color w:val="5A7D3A"/>
          <w:sz w:val="18"/>
        </w:rPr>
        <w:t>https://pubmed.ncbi.nlm.nih.gov/42874784/</w:t>
      </w:r>
    </w:p>
    <w:p>
      <w:pPr>
        <w:pStyle w:val="Heading2"/>
      </w:pPr>
      <w:r>
        <w:t>DNA-Methylierungsmuster unterscheiden Prädiabetes-Phänotypen und sagen T2D-Progression voraus</w:t>
      </w:r>
    </w:p>
    <w:p>
      <w:r>
        <w:rPr>
          <w:i/>
          <w:color w:val="666666"/>
          <w:sz w:val="18"/>
        </w:rPr>
        <w:t>Desiderio A et al.  ·  Diabetes Res Clin Pract  ·  13.10.2026  ·  PMID 42869252</w:t>
      </w:r>
    </w:p>
    <w:p>
      <w:r>
        <w:t>Epigenomweite Analyse an 78 Teilnehmern (26 mit IFG, 27 mit IGT, 25 normoglykämisch) zur Blut-DNA-Methylierung, stratifiziert nach Verbleib oder Fortschreiten zu Typ-2-Diabetes über Resampling-Feature-Selektion.</w:t>
      </w:r>
    </w:p>
    <w:p>
      <w:r>
        <w:rPr>
          <w:b/>
        </w:rPr>
        <w:t xml:space="preserve">Ergebnis: </w:t>
      </w:r>
      <w:r>
        <w:t>8.082 differenziell methylierte CpGs in IFG vs. Normoglykämie, 1.992 in IGT vs. Normoglykämie, 9.488 in IFG vs. IGT. Nach Resampling behielten 3 CpGs pro Phänotyp Vorhersagekraft; cg23913182 in beiden. Niedrigere Baseline-Methylierung an diesen CpGs assoziiert mit T2D-Fortschreitung; OR pro 1%-Punkt Methylierungsanstieg 0,291 (IFG) bis 0,171 (IGT); AUC 0,757–0,791.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Italien; Biomarker-Discovery-Studie, Validierung in unabhängigen Kohorten ausstehend.</w:t>
      </w:r>
    </w:p>
    <w:p>
      <w:r>
        <w:rPr>
          <w:color w:val="5A7D3A"/>
          <w:sz w:val="18"/>
        </w:rPr>
        <w:t>https://pubmed.ncbi.nlm.nih.gov/42869252/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2026-10-17T06:00:00Z</dcterms:created>
  <dcterms:modified xsi:type="dcterms:W3CDTF">2026-10-17T06:00:00Z</dcterms:modified>
  <cp:category/>
</cp:coreProperties>
</file>