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07.10.2026  |  6 Studien  |  diabetes.m-vf.de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Frühe Diabetesschulung reduziert kardiovaskuläre Folgen um 16–23 %</w:t>
      </w:r>
    </w:p>
    <w:p>
      <w:r>
        <w:rPr>
          <w:i/>
          <w:color w:val="666666"/>
          <w:sz w:val="18"/>
        </w:rPr>
        <w:t>Cohen DA et al.  ·  Prim Care Diabetes  ·  06.10.2026  ·  PMID 42838835</w:t>
      </w:r>
    </w:p>
    <w:p>
      <w:r>
        <w:t>Retrospektive Kohortenstudie mit 134.411 Patienten mit Typ-2-Diabetes aus dem Datensatz eines US-amerikanischen Versicherers (Kaiser Permanente), um zu klären, ob strukturierte Diabetesschulung innerhalb von 3 Monaten nach Diagnose langfristig Herzinfarkt, Herzinsuffizienz und Schlaganfall reduziert.</w:t>
      </w:r>
    </w:p>
    <w:p>
      <w:r>
        <w:rPr>
          <w:b/>
        </w:rPr>
        <w:t xml:space="preserve">Ergebnis: </w:t>
      </w:r>
      <w:r>
        <w:t>Patienten, die Schulung erhielten, hatten über 12 Jahre nach Diagnose niedrigere Raten von Myokardinfarkt (HR 0,77; 95%-KI 0,69–0,87), Herzinsuffizienz (HR 0,84; 0,75–0,94) und Schlaganfall (HR 0,84; 0,75–0,93) im Vergleich zu ungeschulten Patienten. Der Nutzen war unabhängig von demografischen und klinischen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integrierte Krankenversicherung; Grundprinzip auf deutsche DMP-Programme übertragbar, deren Umsetzung jedoch variabel ist.</w:t>
      </w:r>
    </w:p>
    <w:p>
      <w:r>
        <w:rPr>
          <w:color w:val="5A7D3A"/>
          <w:sz w:val="18"/>
        </w:rPr>
        <w:t>https://pubmed.ncbi.nlm.nih.gov/42838835/</w:t>
      </w:r>
    </w:p>
    <w:p>
      <w:pPr>
        <w:pStyle w:val="Heading2"/>
      </w:pPr>
      <w:r>
        <w:t>Globale Last der diabetischen Retinopathie wächst kontinuierlich, Typ-2-Diabetes trägt am meisten bei</w:t>
      </w:r>
    </w:p>
    <w:p>
      <w:r>
        <w:rPr>
          <w:i/>
          <w:color w:val="666666"/>
          <w:sz w:val="18"/>
        </w:rPr>
        <w:t>Lin X et al.  ·  Endocrine  ·  06.10.2026  ·  PMID 42837084</w:t>
      </w:r>
    </w:p>
    <w:p>
      <w:r>
        <w:t>Zeitreihenanalyse mit Age-Period-Cohort-Modellierung der Global-Burden-of-Disease-Daten von 1990 bis 2021 zur Häufigkeit diabetisbezogener Sehverschlechterung und Blindheit weltweit.</w:t>
      </w:r>
    </w:p>
    <w:p>
      <w:r>
        <w:rPr>
          <w:b/>
        </w:rPr>
        <w:t xml:space="preserve">Ergebnis: </w:t>
      </w:r>
      <w:r>
        <w:t>Die altersstandardisierte Prävalenz der Blindheit durch Typ-1-Diabetes stieg kontinuierlich (Männer: durchschnittliche jährliche prozentuale Veränderung 0,82 %; Frauen: 1,31 %). Bevölkerungswachstum war der Haupttreiber für moderate und schwere Sehverschlechterung; epidemiologische Änderungen trugen am meisten zu Blindheitsfällen bei. Ältere Bevölkerung und Typ-2-Diabetes waren mit höherer Last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Surveillance-Daten; relevant für Präventionspriorisierung, zeigt aber keine regionale Spezifität für Deutschland.</w:t>
      </w:r>
    </w:p>
    <w:p>
      <w:r>
        <w:rPr>
          <w:color w:val="5A7D3A"/>
          <w:sz w:val="18"/>
        </w:rPr>
        <w:t>https://pubmed.ncbi.nlm.nih.gov/42837084/</w:t>
      </w:r>
    </w:p>
    <w:p>
      <w:pPr>
        <w:pStyle w:val="Heading2"/>
      </w:pPr>
      <w:r>
        <w:t>Südostasiaten haben höhere de-novo-Lipogenese in der Leber – Mechanismus erhöhten Diabetesrisikos</w:t>
      </w:r>
    </w:p>
    <w:p>
      <w:r>
        <w:rPr>
          <w:i/>
          <w:color w:val="666666"/>
          <w:sz w:val="18"/>
        </w:rPr>
        <w:t>Azhar M et al.  ·  Diabetologia  ·  06.10.2026  ·  PMID 42836860</w:t>
      </w:r>
    </w:p>
    <w:p>
      <w:r>
        <w:t>Proof-of-Concept-Fallkontrollstudie mit 7 Südostasiaten und 6 Europäern, matched für Alter und BMI, unter Verwendung von Deuterium-Magnetresonanz zur direkten Messung der Leberfetteinlagerung durch de-novo-Lipogenese (DNL).</w:t>
      </w:r>
    </w:p>
    <w:p>
      <w:r>
        <w:rPr>
          <w:b/>
        </w:rPr>
        <w:t xml:space="preserve">Ergebnis: </w:t>
      </w:r>
      <w:r>
        <w:t>Südostasiaten zeigten höhere fraktionale und absolute DNL-abgeleitete Leberfettmengen als Europäer (beide p=0,041). DNL korrelierte mit Gesamtleberfett (r=0,874–0,888; p=0,001) und Insulinresistenz (HOMA-IR: r=0,659, p=0,014). Diese Unterschiede könnten den um 6-fach höheren Diabetesrisiko bei Südostasiaten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akademische Zentren mit NHS-Infrastruktur; Mechanismus ethnischer Variation, nicht direkt für deutsche Primärversorgung umsetzbar.</w:t>
      </w:r>
    </w:p>
    <w:p>
      <w:r>
        <w:rPr>
          <w:color w:val="5A7D3A"/>
          <w:sz w:val="18"/>
        </w:rPr>
        <w:t>https://pubmed.ncbi.nlm.nih.gov/42836860/</w:t>
      </w:r>
    </w:p>
    <w:p>
      <w:pPr>
        <w:pStyle w:val="Heading2"/>
      </w:pPr>
      <w:r>
        <w:t>Fluvoxamin verbessert Fatigue bei Long COVID mit 58 % höherer Wahrscheinlichkeit bei Tag 90</w:t>
      </w:r>
    </w:p>
    <w:p>
      <w:r>
        <w:rPr>
          <w:i/>
          <w:color w:val="666666"/>
          <w:sz w:val="18"/>
        </w:rPr>
        <w:t>Reis G et al.  ·  Ann Intern Med  ·  06.10.2026  ·  PMID 42832803</w:t>
      </w:r>
    </w:p>
    <w:p>
      <w:r>
        <w:t>Randomisierte, adaptive Studie mit 399 Erwachsenen in Brasilien, die Fluvoxamin oder Metformin oder Placebo über 60 Tage gegen Long-COVID-assoziierte Fatigue testete; Outcome Fatigue Severity Scale (FSS).</w:t>
      </w:r>
    </w:p>
    <w:p>
      <w:r>
        <w:rPr>
          <w:b/>
        </w:rPr>
        <w:t xml:space="preserve">Ergebnis: </w:t>
      </w:r>
      <w:r>
        <w:t>Fluvoxamin vs. Placebo: FSS-Differenz -0,43 (Tag 60) und -0,58 (Tag 90), beide mit posteriorer Überlegenheitswahrscheinlichkeit 99 %. Metformin zeigte inklusiven Nutzen wegen Dosisreduktion durch Nebenwirkungen (Häufigkeit 45,1 % vs. 35,5 % Placebo bei 750 mg). Schwerwiegende Nebenwirkungen ≤2,7 %.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Brasilien; Long COVID ist kein primäres Diabetesthema; Fluvoxamin-Signal beachtenswert, aber Relevanz für diabetische Patientengruppen unklar.</w:t>
      </w:r>
    </w:p>
    <w:p>
      <w:r>
        <w:rPr>
          <w:color w:val="5A7D3A"/>
          <w:sz w:val="18"/>
        </w:rPr>
        <w:t>https://pubmed.ncbi.nlm.nih.gov/42832803/</w:t>
      </w:r>
    </w:p>
    <w:p>
      <w:pPr>
        <w:pStyle w:val="Heading2"/>
      </w:pPr>
      <w:r>
        <w:t>Diagnostische und therapeutische Lücken: Ein Drittel der Patienten mit Diabetes bleibt ohne dokumentierte Versorgung</w:t>
      </w:r>
    </w:p>
    <w:p>
      <w:r>
        <w:rPr>
          <w:i/>
          <w:color w:val="666666"/>
          <w:sz w:val="18"/>
        </w:rPr>
        <w:t>Stimpson JP et al.  ·  Diabetes Care  ·  05.10.2026  ·  PMID 42832327</w:t>
      </w:r>
    </w:p>
    <w:p>
      <w:r>
        <w:t>Retrospektive Kohortenstudie mit 27.650 Erwachsenen aus US-amerikanischen Krankenversicherungsdaten (2017–2023), die Lücken zwischen laborchemisch bestätigtem Diabetes und dokumentierter ärztlicher Diagnose oder Therapieeinleitung quantifiziert.</w:t>
      </w:r>
    </w:p>
    <w:p>
      <w:r>
        <w:rPr>
          <w:b/>
        </w:rPr>
        <w:t xml:space="preserve">Ergebnis: </w:t>
      </w:r>
      <w:r>
        <w:t>66,6 % erhielten innerhalb eines Jahres sowohl Diagnosecodierung als auch medikamentöse Behandlung; 19,7 % nur Diagnose, 4,1 % nur Behandlung, 9,6 % weder noch. Höheres HbA1c war mit Diagnose und Therapie assoziiert; größere Komorbiditätslast war mit niedrigeren Raten beider Outcomes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illustriert Implementierungslücke, die in Deutschland durch Abrechnungsdokumentation und DMP-Strukturen teilweise adressiert wird.</w:t>
      </w:r>
    </w:p>
    <w:p>
      <w:r>
        <w:rPr>
          <w:color w:val="5A7D3A"/>
          <w:sz w:val="18"/>
        </w:rPr>
        <w:t>https://pubmed.ncbi.nlm.nih.gov/42832327/</w:t>
      </w:r>
    </w:p>
    <w:p>
      <w:pPr>
        <w:pStyle w:val="Heading2"/>
      </w:pPr>
      <w:r>
        <w:t>Mütterliche Exposition schützt vor Typ-1-Diabetes im Kindesalter – nicht genetisch erklärbar</w:t>
      </w:r>
    </w:p>
    <w:p>
      <w:r>
        <w:rPr>
          <w:i/>
          <w:color w:val="666666"/>
          <w:sz w:val="18"/>
        </w:rPr>
        <w:t>Slack SD et al.  ·  Diabetes Care  ·  01.10.2026  ·  PMID 42821443</w:t>
      </w:r>
    </w:p>
    <w:p>
      <w:r>
        <w:t>Prospektive Kohorte von 6.942 Lebendgeburten aus TEDDY-Studie, um zu klären, ob niedriges genetisches Risiko bei Kindern mit Typ-1-Diabetes-Müttern deren bekannte relative Schutzwirkung (50 % niedrigeres Risiko) erklärt.</w:t>
      </w:r>
    </w:p>
    <w:p>
      <w:r>
        <w:rPr>
          <w:b/>
        </w:rPr>
        <w:t xml:space="preserve">Ergebnis: </w:t>
      </w:r>
      <w:r>
        <w:t>Der Typ-1-Diabetes-GRS2x unterschied sich nicht zwischen Kindern mit diabetischen Müttern vs. Vätern vs. Geschwistern (alle p&gt;0,27). Mütterlicher Schutz vor Typ-1-Diabetes (HR 0,50, p=0,01) und Inselzell-Autoimmunität (HR 0,38, p=0,006) persistierte nach Anpassung für genetisches Risiko. Dieser Schutz ließ nach Alter 6 Jahren nach.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USA-Population mit europäischen Ursprüngen; demonstriert Intrauterineffekt, mechanistisch relevant, aber ohne unmittelbare Klinikimplikation.</w:t>
      </w:r>
    </w:p>
    <w:p>
      <w:r>
        <w:rPr>
          <w:color w:val="5A7D3A"/>
          <w:sz w:val="18"/>
        </w:rPr>
        <w:t>https://pubmed.ncbi.nlm.nih.gov/42821443/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