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26.10.2026  |  277 Studien  |  diabetes.m-vf.de</w:t>
      </w:r>
    </w:p>
    <w:p>
      <w:pPr>
        <w:pStyle w:val="Heading1"/>
      </w:pPr>
      <w:r>
        <w:t>Aufgenommen am 26.10.2026</w:t>
      </w:r>
    </w:p>
    <w:p>
      <w:pPr>
        <w:pStyle w:val="Heading2"/>
      </w:pPr>
      <w:r>
        <w:t>Prädiabetes und Diabetes treiben Leberfibroserisiko nur bei Adipositas</w:t>
      </w:r>
    </w:p>
    <w:p>
      <w:r>
        <w:rPr>
          <w:i/>
          <w:color w:val="666666"/>
          <w:sz w:val="18"/>
        </w:rPr>
        <w:t>Godinez Leiva E et al.  ·  Diabetologia  ·  24.10.2026  ·  PMID 42926238</w:t>
      </w:r>
    </w:p>
    <w:p>
      <w:r>
        <w:t>Prospektive Real-World-Kohortenstudie an 1.446 Personen aus Primär- und Endokrinologie-Praxen zu Assoziation zwischen glykämischen Kategorien, BMI, Insulinresistenz und klinisch signifikanter Leberfibrose (≥F2).</w:t>
      </w:r>
    </w:p>
    <w:p>
      <w:r>
        <w:rPr>
          <w:b/>
        </w:rPr>
        <w:t xml:space="preserve">Ergebnis: </w:t>
      </w:r>
      <w:r>
        <w:t>MASLD-Prävalenz stieg von 39% (Normoglykämie) auf 55% (Prädiabetes) und 68% (Typ-2-Diabetes). Klinisch signifikante Fibrosis: 1%, 6% und 12% entsprechend. Bei Prädiabetes blieb Fibrosis selten ohne Adipositas (1%), stieg aber auf 4% mit Adipositas und schwerer Insulinresistenz. Typ-2-Diabetes + Adipositas + hohe Insulinresistenz: 16% Fibrose-Prävalenz.</w:t>
      </w:r>
    </w:p>
    <w:p>
      <w:r>
        <w:rPr>
          <w:b/>
          <w:sz w:val="19"/>
        </w:rPr>
        <w:t xml:space="preserve">Übertragbarkeit: </w:t>
      </w:r>
      <w:r>
        <w:rPr>
          <w:sz w:val="19"/>
        </w:rPr>
        <w:t>USA-Klinikdaten; Erkenntnisse zur Insulinresistenz und Fibrose-Risikostratifikation übertragbar.</w:t>
      </w:r>
    </w:p>
    <w:p>
      <w:r>
        <w:rPr>
          <w:color w:val="5A7D3A"/>
          <w:sz w:val="18"/>
        </w:rPr>
        <w:t>https://pubmed.ncbi.nlm.nih.gov/42926238/</w:t>
      </w:r>
    </w:p>
    <w:p>
      <w:pPr>
        <w:pStyle w:val="Heading2"/>
      </w:pPr>
      <w:r>
        <w:t>Diabetische Retinopathie: OCTA-Imaging identifiziert Progressionsrisiko</w:t>
      </w:r>
    </w:p>
    <w:p>
      <w:r>
        <w:rPr>
          <w:i/>
          <w:color w:val="666666"/>
          <w:sz w:val="18"/>
        </w:rPr>
        <w:t>Reste-Ferreira D et al.  ·  Diabetes  ·  23.10.2026  ·  PMID 42925124</w:t>
      </w:r>
    </w:p>
    <w:p>
      <w:r>
        <w:t>10-Jahres-Kohortenstudie an 115 Typ-2-Diabetes-Patienten zur Charakterisierung der Progression der nicht-proliferativen diabetischen Retinopathie mittels optische Kohärenztomographie-Angiographie (OCTA).</w:t>
      </w:r>
    </w:p>
    <w:p>
      <w:r>
        <w:rPr>
          <w:b/>
        </w:rPr>
        <w:t xml:space="preserve">Ergebnis: </w:t>
      </w:r>
      <w:r>
        <w:t>27% der Augen verschlechterten sich, 50% blieben stabil, 21% verbesserten sich. Progression der Mikrogefäß-Minderperfusion im OCTA unterschied signifikant zwischen Verschlechterung/Stabilität und Verbesserung. OCTA-erkannte Perfusionsverschlechterung ermöglichte Identifikation von Patienten mit höherem Progressionsrisiko.</w:t>
      </w:r>
    </w:p>
    <w:p>
      <w:r>
        <w:rPr>
          <w:b/>
          <w:sz w:val="19"/>
        </w:rPr>
        <w:t xml:space="preserve">Übertragbarkeit: </w:t>
      </w:r>
      <w:r>
        <w:rPr>
          <w:sz w:val="19"/>
        </w:rPr>
        <w:t>Portugal (europäische Kohortenstudie); OCTA-Screening ergänzt etablierte Retinopathie-Diagnostik.</w:t>
      </w:r>
    </w:p>
    <w:p>
      <w:r>
        <w:rPr>
          <w:color w:val="5A7D3A"/>
          <w:sz w:val="18"/>
        </w:rPr>
        <w:t>https://pubmed.ncbi.nlm.nih.gov/42925124/</w:t>
      </w:r>
    </w:p>
    <w:p>
      <w:pPr>
        <w:pStyle w:val="Heading2"/>
      </w:pPr>
      <w:r>
        <w:t>Automatisierte Insulinabgabe Twiist: Glykämische Kontrolle im Alltag</w:t>
      </w:r>
    </w:p>
    <w:p>
      <w:r>
        <w:rPr>
          <w:i/>
          <w:color w:val="666666"/>
          <w:sz w:val="18"/>
        </w:rPr>
        <w:t>Shah VN et al.  ·  Diabetes Technol Ther  ·  22.10.2026  ·  PMID 42921964</w:t>
      </w:r>
    </w:p>
    <w:p>
      <w:r>
        <w:t>Real-World-Studie zur glykämischen Wirksamkeit des Twiist-Systems (automatisierte Insulinabgabe) bei Typ-1- und Typ-2-Diabetes über bis zu 365 Tage.</w:t>
      </w:r>
    </w:p>
    <w:p>
      <w:r>
        <w:rPr>
          <w:b/>
        </w:rPr>
        <w:t xml:space="preserve">Ergebnis: </w:t>
      </w:r>
      <w:r>
        <w:t>Bei 4.000 Patienten betrug die mittlere Time in Range 73,5±14,5%, nachts 77,9±16,5%. Hypoglykämie-Exposition sehr niedrig (TBR 54–70 mg/dL: 1,9±2,0%, &lt;54 mg/dL: 0,2±0,4%). Bei HbA1c &lt;7% erreichte TIR 81,5±10,2%; bei &gt;8% nur 61,7±16,3%. Häufigere Bolus-Abgaben waren mit besseren Outcomes assoziiert.</w:t>
      </w:r>
    </w:p>
    <w:p>
      <w:r>
        <w:rPr>
          <w:b/>
          <w:sz w:val="19"/>
        </w:rPr>
        <w:t xml:space="preserve">Übertragbarkeit: </w:t>
      </w:r>
      <w:r>
        <w:rPr>
          <w:sz w:val="19"/>
        </w:rPr>
        <w:t>USA-Registerdaten; Closed-Loop-Systeme sind in Deutschland DMP-relevant und Hilfsmittel.</w:t>
      </w:r>
    </w:p>
    <w:p>
      <w:r>
        <w:rPr>
          <w:color w:val="5A7D3A"/>
          <w:sz w:val="18"/>
        </w:rPr>
        <w:t>https://pubmed.ncbi.nlm.nih.gov/42921964/</w:t>
      </w:r>
    </w:p>
    <w:p>
      <w:pPr>
        <w:pStyle w:val="Heading2"/>
      </w:pPr>
      <w:r>
        <w:t>Autonome Neuropathie vorhersagt Semaglutid-Unverträglichkeit und Abbruch</w:t>
      </w:r>
    </w:p>
    <w:p>
      <w:r>
        <w:rPr>
          <w:i/>
          <w:color w:val="666666"/>
          <w:sz w:val="18"/>
        </w:rPr>
        <w:t>Ogiso K et al.  ·  J Diabetes Investig  ·  24.10.2026  ·  PMID 42921716</w:t>
      </w:r>
    </w:p>
    <w:p>
      <w:r>
        <w:t>Multizentrische retrospektive Studie an 61 Typ-2-Diabetes-Patienten unter oralem Semaglutid zur Vorhersage von Therapieabbruch wegen Übelkeit/Erbrechen innerhalb von 6 Monaten durch parasympathale Dysfunktion (CVR-R).</w:t>
      </w:r>
    </w:p>
    <w:p>
      <w:r>
        <w:rPr>
          <w:b/>
        </w:rPr>
        <w:t xml:space="preserve">Ergebnis: </w:t>
      </w:r>
      <w:r>
        <w:t>21 Patienten brachen Therapie ab, 40 setzten sie fort. CVR-R_DB (tiefe Atemzüge) war deutlich niedriger in Abbruch-Gruppe (Median 1,93% vs. 3,26%, p&lt;0,001). CVR-R_DB blieb unabhängig assoziiert (adjustiertes OR 0,191; 95%-KI 0,071–0,512; p=0,001; AUC 0,832). Cutoff 2,55% CVR-R_DB stratifizierte 6-Monats-Persistenz: 43,3% vs. 87,1% (p&lt;0,001).</w:t>
      </w:r>
    </w:p>
    <w:p>
      <w:r>
        <w:rPr>
          <w:b/>
          <w:sz w:val="19"/>
        </w:rPr>
        <w:t xml:space="preserve">Übertragbarkeit: </w:t>
      </w:r>
      <w:r>
        <w:rPr>
          <w:sz w:val="19"/>
        </w:rPr>
        <w:t>Japan; autonome Neuropathie als Prädiktorbiomarker für GLP-1-RA-Verträglichkeit könnte praktisch relevant sein.</w:t>
      </w:r>
    </w:p>
    <w:p>
      <w:r>
        <w:rPr>
          <w:color w:val="5A7D3A"/>
          <w:sz w:val="18"/>
        </w:rPr>
        <w:t>https://pubmed.ncbi.nlm.nih.gov/42921716/</w:t>
      </w:r>
    </w:p>
    <w:p>
      <w:pPr>
        <w:pStyle w:val="Heading2"/>
      </w:pPr>
      <w:r>
        <w:t>21-Tage-CGM in Kindern: Genauigkeit stabil, Zufriedenheit hoch</w:t>
      </w:r>
    </w:p>
    <w:p>
      <w:r>
        <w:rPr>
          <w:i/>
          <w:color w:val="666666"/>
          <w:sz w:val="18"/>
        </w:rPr>
        <w:t>Eren E et al.  ·  BMJ Open Diabetes Res Care  ·  21.10.2026  ·  PMID 42907139</w:t>
      </w:r>
    </w:p>
    <w:p>
      <w:r>
        <w:t>Prospektive Real-World-Studie an 52 Kindern und Jugendlichen mit Typ-1-Diabetes zur Genauigkeit und Trageakzeptanz des 21-Tage-CGM-Systems Instara-1.</w:t>
      </w:r>
    </w:p>
    <w:p>
      <w:r>
        <w:rPr>
          <w:b/>
        </w:rPr>
        <w:t xml:space="preserve">Ergebnis: </w:t>
      </w:r>
      <w:r>
        <w:t>2.386 Messwertpaare analysiert: MARD 8,4%, medianes relatives mittleres Abweichung 5,4%, Korrelation CGM-Referenz r=0,965. 90,7% der Werte im ±20/20-Übereinstimmungsband. Bland-Altman-Analyse: kleine negative Abweichung (−6,2 mg/dL; 95%-Grenzen −50,6 bis +38,2). Tägliches MARD stabil über 21 Tage, alle außer ein Sensor komplett. Glukose-Mittel 176,98±42,37 mg/dL, TIR 52,74±20,34%, Variationskoeffizient 39,36±8,24%. Zufriedenheit: 4,35±0,61 (Skala), 78,4% Score ≥4.</w:t>
      </w:r>
    </w:p>
    <w:p>
      <w:r>
        <w:rPr>
          <w:b/>
          <w:sz w:val="19"/>
        </w:rPr>
        <w:t xml:space="preserve">Übertragbarkeit: </w:t>
      </w:r>
      <w:r>
        <w:rPr>
          <w:sz w:val="19"/>
        </w:rPr>
        <w:t>Türkei; erweiterte CGM-Tragezeiten sind klinisch und nutzerakzeptabel für pädiatrische Versorgung.</w:t>
      </w:r>
    </w:p>
    <w:p>
      <w:r>
        <w:rPr>
          <w:color w:val="5A7D3A"/>
          <w:sz w:val="18"/>
        </w:rPr>
        <w:t>https://pubmed.ncbi.nlm.nih.gov/42907139/</w:t>
      </w:r>
    </w:p>
    <w:p>
      <w:pPr>
        <w:pStyle w:val="Heading2"/>
      </w:pPr>
      <w:r>
        <w:t>Inhaliertes Insulin: Strategien zur Überwindung von Zugangsbarrieren</w:t>
      </w:r>
    </w:p>
    <w:p>
      <w:r>
        <w:rPr>
          <w:i/>
          <w:color w:val="666666"/>
          <w:sz w:val="18"/>
        </w:rPr>
        <w:t>Blevins TC et al.  ·  Diabetes Technol Ther  ·  19.10.2026  ·  PMID 42897887</w:t>
      </w:r>
    </w:p>
    <w:p>
      <w:r>
        <w:t>Ein Expertenteam analysierte Hindernisse für die Nutzung von inhaliertem Insulin (Technosphere®) trotz nachgewiesener Wirksamkeit und Sicherheit.</w:t>
      </w:r>
    </w:p>
    <w:p>
      <w:r>
        <w:rPr>
          <w:b/>
        </w:rPr>
        <w:t xml:space="preserve">Ergebnis: </w:t>
      </w:r>
      <w:r>
        <w:t>Identifizierte Barrieren: Kostenträgerrestriktionen, Prior-Authorization-Anforderungen, Formularbeausschlüsse, unzureichendes Kliniker-Wissen, Zeitmangel, Sicherheitsmisstrauen und geringe Patientenbewusstheit. Panel empfahl konkrete Strategien für Kostenträger, Kliniker, Gesundheitspolitik und Patientengruppen.</w:t>
      </w:r>
    </w:p>
    <w:p>
      <w:r>
        <w:rPr>
          <w:b/>
          <w:sz w:val="19"/>
        </w:rPr>
        <w:t xml:space="preserve">Übertragbarkeit: </w:t>
      </w:r>
      <w:r>
        <w:rPr>
          <w:sz w:val="19"/>
        </w:rPr>
        <w:t>USA-basierte Analyse; Zugangsbarrieren sind in deutschen Erstattungssystemen ähnlich strukturiert.</w:t>
      </w:r>
    </w:p>
    <w:p>
      <w:r>
        <w:rPr>
          <w:color w:val="5A7D3A"/>
          <w:sz w:val="18"/>
        </w:rPr>
        <w:t>https://pubmed.ncbi.nlm.nih.gov/42897887/</w:t>
      </w:r>
    </w:p>
    <w:p>
      <w:pPr>
        <w:pStyle w:val="Heading1"/>
      </w:pPr>
      <w:r>
        <w:t>Aufgenommen am 25.10.2026</w:t>
      </w:r>
    </w:p>
    <w:p>
      <w:pPr>
        <w:pStyle w:val="Heading2"/>
      </w:pPr>
      <w:r>
        <w:t>Automatisches Insulinabgabesystem kosteneffektiv gegen mehrfache Tagesinjektionen bei Typ-1-Diabetes in Hongkong</w:t>
      </w:r>
    </w:p>
    <w:p>
      <w:r>
        <w:rPr>
          <w:i/>
          <w:color w:val="666666"/>
          <w:sz w:val="18"/>
        </w:rPr>
        <w:t>Chow E et al.  ·  J Diabetes Sci Technol  ·  22.10.2026  ·  PMID 42910615</w:t>
      </w:r>
    </w:p>
    <w:p>
      <w:r>
        <w:t>Gesundheitsökonomische Analyse des MiniMed 780G (automatisches Insulinabgabesystem) versus Mehrfachinjektionen plus kontinuierliche Glukosemessung bei Typ-1-Diabetes-Patienten in Hongkong über 60 Jahre Zeithorizont.</w:t>
      </w:r>
    </w:p>
    <w:p>
      <w:r>
        <w:rPr>
          <w:b/>
        </w:rPr>
        <w:t xml:space="preserve">Ergebnis: </w:t>
      </w:r>
      <w:r>
        <w:t>Inkrementelles Kosteneffektivitätsverhältnis (ICER) bei Erwachsenen mit HbA1c ≥8 % betrug HKD 348.927 (USD 44.759) pro gewonnenem qualitätsadjustiertem Lebensjahr (QALY); bei Kindern/Jugendlichen HKD 300.466 (USD 38.543) pro QALY. Das automatische System führte zu geringerer Komplikationsinzidenz. Die Analyse basiert auf HbA1c-Reduktion von 1,54 % (Closed Loop) versus 0,2 % (Mehrfachinjektionen + CGM).</w:t>
      </w:r>
    </w:p>
    <w:p>
      <w:r>
        <w:rPr>
          <w:b/>
          <w:sz w:val="19"/>
        </w:rPr>
        <w:t xml:space="preserve">Übertragbarkeit: </w:t>
      </w:r>
      <w:r>
        <w:rPr>
          <w:sz w:val="19"/>
        </w:rPr>
        <w:t>Hongkong; Gesundheitssystem Ostasien, Daten aus RCT und Modellierung übertragbar mit Kostenvorbehalt</w:t>
      </w:r>
    </w:p>
    <w:p>
      <w:r>
        <w:rPr>
          <w:color w:val="5A7D3A"/>
          <w:sz w:val="18"/>
        </w:rPr>
        <w:t>https://pubmed.ncbi.nlm.nih.gov/42910615/</w:t>
      </w:r>
    </w:p>
    <w:p>
      <w:pPr>
        <w:pStyle w:val="Heading2"/>
      </w:pPr>
      <w:r>
        <w:t>Höherer TFQI-Index verdoppelt bis verfünfzehntfacht Amputationsrisiko bei diabetischem Fußulkus</w:t>
      </w:r>
    </w:p>
    <w:p>
      <w:r>
        <w:rPr>
          <w:i/>
          <w:color w:val="666666"/>
          <w:sz w:val="18"/>
        </w:rPr>
        <w:t>Wang J et al.  ·  J Diabetes Investig  ·  20.10.2026  ·  PMID 42899554</w:t>
      </w:r>
    </w:p>
    <w:p>
      <w:r>
        <w:t>Retrospektive Querschnittsstudie bei 381 stationären Patienten mit diabetischem Fußulkus und normaler Schilddrüsenfunktion zur Assoziation zwischen Thyroid-Feedback-Quantile-Index (TFQI) und in-Hospital-Amputationsrisiko.</w:t>
      </w:r>
    </w:p>
    <w:p>
      <w:r>
        <w:rPr>
          <w:b/>
        </w:rPr>
        <w:t xml:space="preserve">Ergebnis: </w:t>
      </w:r>
      <w:r>
        <w:t>56 Amputationen (14,7 %). Jede 1-Standardabweichung höherer TFQI war in Modell 3 mit erhöhten Amputationsquoten assoziiert (OR 2,27; 95%-KI 1,63–3,15; p&lt;0,001). Im Vergleich zu Q1 (niedrigstes Quartil) betrugen die ORs für Q2, Q3, Q4: 2,94 (95%-KI 0,98–8,83), 5,60 (95%-KI 1,88–16,67), 14,79 (95%-KI 5,22–41,89); p&lt;0,001 für Q4. Restricted Cubic Spline zeigte Nichtlinearität (p=0,046).</w:t>
      </w:r>
    </w:p>
    <w:p>
      <w:r>
        <w:rPr>
          <w:b/>
          <w:sz w:val="19"/>
        </w:rPr>
        <w:t xml:space="preserve">Übertragbarkeit: </w:t>
      </w:r>
      <w:r>
        <w:rPr>
          <w:sz w:val="19"/>
        </w:rPr>
        <w:t>China; Assoziation interessant, aber TFQI ist noch kein etablierter Marker in deutscher Versorgung</w:t>
      </w:r>
    </w:p>
    <w:p>
      <w:r>
        <w:rPr>
          <w:color w:val="5A7D3A"/>
          <w:sz w:val="18"/>
        </w:rPr>
        <w:t>https://pubmed.ncbi.nlm.nih.gov/42899554/</w:t>
      </w:r>
    </w:p>
    <w:p>
      <w:pPr>
        <w:pStyle w:val="Heading2"/>
      </w:pPr>
      <w:r>
        <w:t>Off-Label-Hochdosis-Semaglutid-Einleitung erhöht Therapieabbruch um 25 Prozent</w:t>
      </w:r>
    </w:p>
    <w:p>
      <w:r>
        <w:rPr>
          <w:i/>
          <w:color w:val="666666"/>
          <w:sz w:val="18"/>
        </w:rPr>
        <w:t>Belalcazar LM et al.  ·  Diabetes Obes Metab  ·  19.10.2026  ·  PMID 42897121</w:t>
      </w:r>
    </w:p>
    <w:p>
      <w:r>
        <w:t>Analyse von Verschreibungsmustern beim Semaglutid-Start in der US-Praxis (2018–2021) und deren Einfluss auf frühen Therapieabbruch und 1-Jahres-Persistenz bei 48.658 Erwachsenen mit Diabetes oder Adipositas.</w:t>
      </w:r>
    </w:p>
    <w:p>
      <w:r>
        <w:rPr>
          <w:b/>
        </w:rPr>
        <w:t xml:space="preserve">Ergebnis: </w:t>
      </w:r>
      <w:r>
        <w:t>14,5 % erhielten High-Dose-Einleitung (≥1,0 mg/Woche statt ≤0,5 mg). High-Dose-Initiation war mit 25 % erhöhtem Frühabbruch-Risiko assoziiert (HR 1,25; 95%-KI 1,17–1,34; p&lt;0,001) und verringerter 1-Jahres-Persistenz (p=0,01), unabhängig von Alter, Adipositas und Komorbiditäten. Off-Label-Hochdosis-Start war bei Endokrinologen, jüngeren, männlichen Patienten und in West/Süd-USA häufiger.</w:t>
      </w:r>
    </w:p>
    <w:p>
      <w:r>
        <w:rPr>
          <w:b/>
          <w:sz w:val="19"/>
        </w:rPr>
        <w:t xml:space="preserve">Übertragbarkeit: </w:t>
      </w:r>
      <w:r>
        <w:rPr>
          <w:sz w:val="19"/>
        </w:rPr>
        <w:t>USA-Daten; Adhärenz-Problem auch in deutschen Praxen wahrscheinlich, aber Dosierungsrichtlinien unterscheiden sich</w:t>
      </w:r>
    </w:p>
    <w:p>
      <w:r>
        <w:rPr>
          <w:color w:val="5A7D3A"/>
          <w:sz w:val="18"/>
        </w:rPr>
        <w:t>https://pubmed.ncbi.nlm.nih.gov/42897121/</w:t>
      </w:r>
    </w:p>
    <w:p>
      <w:pPr>
        <w:pStyle w:val="Heading2"/>
      </w:pPr>
      <w:r>
        <w:t>Versteckte Tubulusschädigung bei 1 von 5 Typ-2-Diabetikern trotz normaler Albuminurie und erhaltener Nierenfunktion</w:t>
      </w:r>
    </w:p>
    <w:p>
      <w:r>
        <w:rPr>
          <w:i/>
          <w:color w:val="666666"/>
          <w:sz w:val="18"/>
        </w:rPr>
        <w:t>Liang H et al.  ·  Diabetes Obes Metab  ·  19.10.2026  ·  PMID 42897114</w:t>
      </w:r>
    </w:p>
    <w:p>
      <w:r>
        <w:t>Querschnittsstudie bei 4.046 Typ-2-Diabetes-Patienten mit Normoalbuminurie (UACR &lt;30 mg/g) und erhaltener eGFR (≥60) zur Prävalenz einer Niedrigmolekular-Protein-Tubulusschädigung und deren Beziehung zu konventionellen Nierenmarkern, mit Validierung in menschlichen Nierenpräparaten.</w:t>
      </w:r>
    </w:p>
    <w:p>
      <w:r>
        <w:rPr>
          <w:b/>
        </w:rPr>
        <w:t xml:space="preserve">Ergebnis: </w:t>
      </w:r>
      <w:r>
        <w:t>Tubulär-Phänotyp (α1-Mikroglobulin &gt;12 mg/L und β2-Mikroglobulin &gt;0,20 mg/L) vorhanden bei 797 von 4.046 Patienten (19,7 %). UACR diskriminierte den Phänotyp nicht (AUC 0,466; 95%-KI 0,443–0,489). ln(UACR+1) war nach klinischer Anpassung nicht mit Phänotyp assoziiert (OR 0,873; 95%-KI 0,710–1,075; p=0,201). Humane Nierenpräparate zeigten verwandte proximale Tubulusschädigungsprogramme mit zellulärer und räumlicher Heterogenität.</w:t>
      </w:r>
    </w:p>
    <w:p>
      <w:r>
        <w:rPr>
          <w:b/>
          <w:sz w:val="19"/>
        </w:rPr>
        <w:t xml:space="preserve">Übertragbarkeit: </w:t>
      </w:r>
      <w:r>
        <w:rPr>
          <w:sz w:val="19"/>
        </w:rPr>
        <w:t>China, Grundforschung mit Tubulusmarkern – aber Tubulusphänotypisierung noch nicht in deutsche DMP übernommen</w:t>
      </w:r>
    </w:p>
    <w:p>
      <w:r>
        <w:rPr>
          <w:color w:val="5A7D3A"/>
          <w:sz w:val="18"/>
        </w:rPr>
        <w:t>https://pubmed.ncbi.nlm.nih.gov/42897114/</w:t>
      </w:r>
    </w:p>
    <w:p>
      <w:pPr>
        <w:pStyle w:val="Heading2"/>
      </w:pPr>
      <w:r>
        <w:t>Insulinresistenz ist diverse adaptive Antwort, nicht einheitliches Leiden – Expertenkonsens fordert gezielte Therapien</w:t>
      </w:r>
    </w:p>
    <w:p>
      <w:r>
        <w:rPr>
          <w:i/>
          <w:color w:val="666666"/>
          <w:sz w:val="18"/>
        </w:rPr>
        <w:t>Gastaldelli A et al.  ·  Diabetes Care  ·  28.09.2026  ·  PMID 42803375</w:t>
      </w:r>
    </w:p>
    <w:p>
      <w:r>
        <w:t>Expert-Forum-Konsens (September 2025, vor EASD-Jahrestagung) zu aktueller Forschung über Insulinresistenz und deren therapeutische Optionen; überarbeitetes Verständnis der Pathophysiologie und Forschungspriorit äten.</w:t>
      </w:r>
    </w:p>
    <w:p>
      <w:r>
        <w:rPr>
          <w:b/>
        </w:rPr>
        <w:t xml:space="preserve">Ergebnis: </w:t>
      </w:r>
      <w:r>
        <w:t>Leitautor Roden und Kollegen definieren Insulinresistenz neu als ‚diverse und hochplastische Menge adaptiver, fehlangepasster, akuter und chronischer Reaktionen', nicht als einzelne Pathophysiologie. Sie variiert zwischen Geweben, Individuen und physiologischen Bedingungen. Aktuelle Therapien wirken mehrheitlich indirekt; Forschung sollte sich auf pathway-spezifische Defekte und echte Insulin-Sensitizer konzentrieren, nicht nur indirekte Effekte auf HbA1c.</w:t>
      </w:r>
    </w:p>
    <w:p>
      <w:r>
        <w:rPr>
          <w:b/>
          <w:sz w:val="19"/>
        </w:rPr>
        <w:t xml:space="preserve">Übertragbarkeit: </w:t>
      </w:r>
      <w:r>
        <w:rPr>
          <w:sz w:val="19"/>
        </w:rPr>
        <w:t>Deutschland und Europa; deutschsprachige Autoren (Roden Düsseldorf, Heni Tübingen), europäische Perspektive auf DM2-Pathophysiologie</w:t>
      </w:r>
    </w:p>
    <w:p>
      <w:r>
        <w:rPr>
          <w:color w:val="5A7D3A"/>
          <w:sz w:val="18"/>
        </w:rPr>
        <w:t>https://pubmed.ncbi.nlm.nih.gov/42803375/</w:t>
      </w:r>
    </w:p>
    <w:p>
      <w:pPr>
        <w:pStyle w:val="Heading1"/>
      </w:pPr>
      <w:r>
        <w:t>Aufgenommen am 24.10.2026</w:t>
      </w:r>
    </w:p>
    <w:p>
      <w:pPr>
        <w:pStyle w:val="Heading2"/>
      </w:pPr>
      <w:r>
        <w:t>Substanzkonsum-Profile mit Hospitalisierungsrisiko bei Diabetes assoziiert</w:t>
      </w:r>
    </w:p>
    <w:p>
      <w:r>
        <w:rPr>
          <w:i/>
          <w:color w:val="666666"/>
          <w:sz w:val="18"/>
        </w:rPr>
        <w:t>Burroughs TE et al.  ·  Prim Care Diabetes  ·  23.10.2026  ·  PMID 42919753</w:t>
      </w:r>
    </w:p>
    <w:p>
      <w:r>
        <w:t>Analyse von 6.805 erwachsenen Diabetikern aus US-Nationaldaten zur Identifikation von Substanzkonsum-Mustern und deren Verknüpfung mit klinischen Outcomes.</w:t>
      </w:r>
    </w:p>
    <w:p>
      <w:r>
        <w:rPr>
          <w:b/>
        </w:rPr>
        <w:t xml:space="preserve">Ergebnis: </w:t>
      </w:r>
      <w:r>
        <w:t>Drei Profile identifiziert: Niedrig/Kein Konsum (67,6%), Cannabis und Binge-Drinking (24,4%), Polysubstanzgebrauch (8,0%). Polysubstanznutzer hatten erhöhte Odds für Hospitalisierung (OR 1,46) und schlechtere subjektive Gesundheit als die Referenzgruppe. Mental-Health-Belastung und männliches Geschlecht waren Risikofaktoren.</w:t>
      </w:r>
    </w:p>
    <w:p>
      <w:r>
        <w:rPr>
          <w:b/>
          <w:sz w:val="19"/>
        </w:rPr>
        <w:t xml:space="preserve">Übertragbarkeit: </w:t>
      </w:r>
      <w:r>
        <w:rPr>
          <w:sz w:val="19"/>
        </w:rPr>
        <w:t>USA-Daten, andere Versorgungsstruktur; Screening-Konzept prinzipiell übertragbar.</w:t>
      </w:r>
    </w:p>
    <w:p>
      <w:r>
        <w:rPr>
          <w:color w:val="5A7D3A"/>
          <w:sz w:val="18"/>
        </w:rPr>
        <w:t>https://pubmed.ncbi.nlm.nih.gov/42919753/</w:t>
      </w:r>
    </w:p>
    <w:p>
      <w:pPr>
        <w:pStyle w:val="Heading2"/>
      </w:pPr>
      <w:r>
        <w:t>Stillen nach Geburt: BMI, nicht Diabetes selbst, senkt Stillquoten</w:t>
      </w:r>
    </w:p>
    <w:p>
      <w:r>
        <w:rPr>
          <w:i/>
          <w:color w:val="666666"/>
          <w:sz w:val="18"/>
        </w:rPr>
        <w:t>Britten FL et al.  ·  Diabetologia  ·  22.10.2026  ·  PMID 42918866</w:t>
      </w:r>
    </w:p>
    <w:p>
      <w:r>
        <w:t>Prospektive Fall-Kontroll-Studie mit 29 Frauen mit Typ-2-Diabetes und zwei Kontrollgruppen (jeweils n=28–29, eine mit angepasstem BMI, eine normalgewichtig), Follow-up 4 Monate postpartal in Australien.</w:t>
      </w:r>
    </w:p>
    <w:p>
      <w:r>
        <w:rPr>
          <w:b/>
        </w:rPr>
        <w:t xml:space="preserve">Ergebnis: </w:t>
      </w:r>
      <w:r>
        <w:t>Vollstillen nach 4 Monaten: 24% (Diabetes) vs. 38% (BMI-angepasste Kontrollen) vs. 64% (normale BMI); Unterschied Diabetes vs. BMI-angepasst nicht signifikant (p=0,26), aber Diabetes vs. normal-BMI signifikant (p=0,002). Beliebiges Stillen: 55% vs. 54% vs. 82% (p=0,79 vs. p=0,03). Maternal-Adipositas, nicht Typ-2-Diabetes selbst, ist Hauptdeterminante reduzierter Stillraten.</w:t>
      </w:r>
    </w:p>
    <w:p>
      <w:r>
        <w:rPr>
          <w:b/>
          <w:sz w:val="19"/>
        </w:rPr>
        <w:t xml:space="preserve">Übertragbarkeit: </w:t>
      </w:r>
      <w:r>
        <w:rPr>
          <w:sz w:val="19"/>
        </w:rPr>
        <w:t>Australien, englischsprachiges System; Befund zur Rolle von Adipositas prinzipiell übertragbar.</w:t>
      </w:r>
    </w:p>
    <w:p>
      <w:r>
        <w:rPr>
          <w:color w:val="5A7D3A"/>
          <w:sz w:val="18"/>
        </w:rPr>
        <w:t>https://pubmed.ncbi.nlm.nih.gov/42918866/</w:t>
      </w:r>
    </w:p>
    <w:p>
      <w:pPr>
        <w:pStyle w:val="Heading2"/>
      </w:pPr>
      <w:r>
        <w:t>Viszerales Fett über BMI hinaus zeigt frühe Glukosestörung an</w:t>
      </w:r>
    </w:p>
    <w:p>
      <w:r>
        <w:rPr>
          <w:i/>
          <w:color w:val="666666"/>
          <w:sz w:val="18"/>
        </w:rPr>
        <w:t>Kong Y et al.  ·  Diabetes Metab  ·  23.10.2026  ·  PMID 42918612</w:t>
      </w:r>
    </w:p>
    <w:p>
      <w:r>
        <w:t>Querschnittstudie mit MRT-vermessenem Fettverteilungsmuster bei 474 stoffwechselgesunden Erwachsenen (40–65 Jahre) zur Vorhersage von Insulinresistenz und gestörter Glukosetoleranz.</w:t>
      </w:r>
    </w:p>
    <w:p>
      <w:r>
        <w:rPr>
          <w:b/>
        </w:rPr>
        <w:t xml:space="preserve">Ergebnis: </w:t>
      </w:r>
      <w:r>
        <w:t>Jede 1-SD-Erhöhung des BMI-adjustierten viszeralen Fettanteils korrelierte mit niedrigerem Matsuda-Index (β=−0,41), höherem HOMA-IR (β=0,10), 2-Stunden-Glukose +0,22 mmol/l und höherem Prädiabetes-Risiko (OR 1,32 für WHO-Definition). Subkutanes Fett zeigte keine signifikanten Assoziationen.</w:t>
      </w:r>
    </w:p>
    <w:p>
      <w:r>
        <w:rPr>
          <w:b/>
          <w:sz w:val="19"/>
        </w:rPr>
        <w:t xml:space="preserve">Übertragbarkeit: </w:t>
      </w:r>
      <w:r>
        <w:rPr>
          <w:sz w:val="19"/>
        </w:rPr>
        <w:t>China; Messmethode erfordert MRT, in Deutschland flächendeckend kaum verfügbar.</w:t>
      </w:r>
    </w:p>
    <w:p>
      <w:r>
        <w:rPr>
          <w:color w:val="5A7D3A"/>
          <w:sz w:val="18"/>
        </w:rPr>
        <w:t>https://pubmed.ncbi.nlm.nih.gov/42918612/</w:t>
      </w:r>
    </w:p>
    <w:p>
      <w:pPr>
        <w:pStyle w:val="Heading2"/>
      </w:pPr>
      <w:r>
        <w:t>SGLT2-Inhibitoren verbessern Leberhistologie bei biopsie-verifizierter MASH</w:t>
      </w:r>
    </w:p>
    <w:p>
      <w:r>
        <w:rPr>
          <w:i/>
          <w:color w:val="666666"/>
          <w:sz w:val="18"/>
        </w:rPr>
        <w:t>Abdel Monem MS et al.  ·  J Diabetes Complications  ·  16.10.2026  ·  PMID 42914763</w:t>
      </w:r>
    </w:p>
    <w:p>
      <w:r>
        <w:t>Metaanalyse von 7 Studien (n=110) zur Wirkung von SGLT2-Inhibitoren auf histologisch verifizierte metabolic-dysfunction-associated steatohepatitis (MASH) bei Typ-2-Diabetikern.</w:t>
      </w:r>
    </w:p>
    <w:p>
      <w:r>
        <w:rPr>
          <w:b/>
        </w:rPr>
        <w:t xml:space="preserve">Ergebnis: </w:t>
      </w:r>
      <w:r>
        <w:t>SGLT2i führten zu signifikanten Verbesserungen: Lebersteatose und Fibrose-Histologie reduziert, controlled attenuation parameter (CAP) SMCR −0,56 (95%-KI −0,75 bis −0,36), liver stiffness measurement SMCR −0,58 (−1,03 bis −0,14), NAFLD-Activity-Score SMCR −1,18 (−2,29 bis −0,06); Waist Circumference −0,33 SD, Blutdruck gesenkt. Sicherheit konsistent, aber erhebliche Heterogenität bei LSM und Histologie.</w:t>
      </w:r>
    </w:p>
    <w:p>
      <w:r>
        <w:rPr>
          <w:b/>
          <w:sz w:val="19"/>
        </w:rPr>
        <w:t xml:space="preserve">Übertragbarkeit: </w:t>
      </w:r>
      <w:r>
        <w:rPr>
          <w:sz w:val="19"/>
        </w:rPr>
        <w:t>Metaanalyse, internationale Studien; SGLT2i sind in deutschen DMPs enthalten.</w:t>
      </w:r>
    </w:p>
    <w:p>
      <w:r>
        <w:rPr>
          <w:color w:val="5A7D3A"/>
          <w:sz w:val="18"/>
        </w:rPr>
        <w:t>https://pubmed.ncbi.nlm.nih.gov/42914763/</w:t>
      </w:r>
    </w:p>
    <w:p>
      <w:pPr>
        <w:pStyle w:val="Heading2"/>
      </w:pPr>
      <w:r>
        <w:t>Insulinresistenz neu verstanden: Plastische Anpassungen statt Uniform-Defekt</w:t>
      </w:r>
    </w:p>
    <w:p>
      <w:r>
        <w:rPr>
          <w:i/>
          <w:color w:val="666666"/>
          <w:sz w:val="18"/>
        </w:rPr>
        <w:t>Gastaldelli A et al.  ·  Diabetes  ·  28.09.2026  ·  PMID 42803383</w:t>
      </w:r>
    </w:p>
    <w:p>
      <w:r>
        <w:t>Konsensuspapier führender europäischer und nordamerikanischer Experten zur Neubewertung des Konzepts Insulinresistenz, basierend auf aktueller Forschung und EASD-Symposium 2025.</w:t>
      </w:r>
    </w:p>
    <w:p>
      <w:r>
        <w:rPr>
          <w:b/>
        </w:rPr>
        <w:t xml:space="preserve">Ergebnis: </w:t>
      </w:r>
      <w:r>
        <w:t>Insulinresistenz wird nicht länger als einheitliche pathophysiologische Entität beschrieben, sondern als diverse, plastische Ansammlung lokaler, organspezifischer und zeitlich variable adaptive sowie maladaptive Reaktionen auf physiologische und Umweltbedingungen. Bestehende Therapien wirken überwiegend indirekt. Empfehlung: Fokus auf Pathway-spezifische Defekte zur Entwicklung echter Insulinsensitizer. Verfügbare Methoden zur Messung werden dargelegt, offene Forschungsfragen benannt.</w:t>
      </w:r>
    </w:p>
    <w:p>
      <w:r>
        <w:rPr>
          <w:b/>
          <w:sz w:val="19"/>
        </w:rPr>
        <w:t xml:space="preserve">Übertragbarkeit: </w:t>
      </w:r>
      <w:r>
        <w:rPr>
          <w:sz w:val="19"/>
        </w:rPr>
        <w:t>Mehrheit europäische und deutsche Autoren, EASD-Kontext; grundlagliche Neubewertung.</w:t>
      </w:r>
    </w:p>
    <w:p>
      <w:r>
        <w:rPr>
          <w:color w:val="5A7D3A"/>
          <w:sz w:val="18"/>
        </w:rPr>
        <w:t>https://pubmed.ncbi.nlm.nih.gov/42803383/</w:t>
      </w:r>
    </w:p>
    <w:p>
      <w:pPr>
        <w:pStyle w:val="Heading1"/>
      </w:pPr>
      <w:r>
        <w:t>Aufgenommen am 23.10.2026</w:t>
      </w:r>
    </w:p>
    <w:p>
      <w:pPr>
        <w:pStyle w:val="Heading2"/>
      </w:pPr>
      <w:r>
        <w:t>Entzündungs-Proteinmuster sagt Herzinfarkt bei Typ-1-Diabetes voraus</w:t>
      </w:r>
    </w:p>
    <w:p>
      <w:r>
        <w:rPr>
          <w:i/>
          <w:color w:val="666666"/>
          <w:sz w:val="18"/>
        </w:rPr>
        <w:t>Zhou J et al.  ·  Cardiovasc Diabetol  ·  26.07.2026  ·  PMID 42907853</w:t>
      </w:r>
    </w:p>
    <w:p>
      <w:r>
        <w:t>Prospektive US-amerikanische Kohortenstudie: 417 Typ-1-Diabetiker mit Beginn im Kindesalter wurden über 30 Jahre nachbeobachtet. Mit Hochdurchsatz-Proteomik wurden 184 Blutproteine gemessen, um festzustellen, welche Proteinkombinationen einen Herzinfarkt oder die Notwendigkeit einer Herzkatheter-Intervention vorhersagen.</w:t>
      </w:r>
    </w:p>
    <w:p>
      <w:r>
        <w:rPr>
          <w:b/>
        </w:rPr>
        <w:t xml:space="preserve">Ergebnis: </w:t>
      </w:r>
      <w:r>
        <w:t>In 30 Jahren traten bei 151 Patienten (36,2 %) ein Herzinfarkt, eine koronare Revaskularisation oder ein verschlossenes Gefäß auf. Ein Protein-Modul mit 56 Proteinen (TNF/Notch-Signaling, T-Zell-Aktivierung) war mit erhöhtem Risiko assoziiert (Hazard Ratio 1,35, 95%-KI 1,06–1,72, p = 0,014). Ein anderes Modul mit 33 Proteinen (Lipidabbau, Hormonantwort) war protektiv (HR 0,82, 95%-KI 0,70–0,96, p = 0,017). Das Entzündungs-Modul vermittelte 14 % des Effekts von erhöhtem HbA1c auf Herzinfarkt.</w:t>
      </w:r>
    </w:p>
    <w:p>
      <w:r>
        <w:rPr>
          <w:b/>
          <w:sz w:val="19"/>
        </w:rPr>
        <w:t xml:space="preserve">Übertragbarkeit: </w:t>
      </w:r>
      <w:r>
        <w:rPr>
          <w:sz w:val="19"/>
        </w:rPr>
        <w:t>USA-Kohortendaten, aber biologisches Muster unabhängig von Versicherungssystem</w:t>
      </w:r>
    </w:p>
    <w:p>
      <w:r>
        <w:rPr>
          <w:color w:val="5A7D3A"/>
          <w:sz w:val="18"/>
        </w:rPr>
        <w:t>https://pubmed.ncbi.nlm.nih.gov/42907853/</w:t>
      </w:r>
    </w:p>
    <w:p>
      <w:pPr>
        <w:pStyle w:val="Heading2"/>
      </w:pPr>
      <w:r>
        <w:t>Diabetische Retinopathie verbessert Risikovorhersage für Herzinfarkt und Schlaganfall</w:t>
      </w:r>
    </w:p>
    <w:p>
      <w:r>
        <w:rPr>
          <w:i/>
          <w:color w:val="666666"/>
          <w:sz w:val="18"/>
        </w:rPr>
        <w:t>Phan F et al.  ·  Cardiovasc Diabetol  ·  27.07.2026  ·  PMID 42907820</w:t>
      </w:r>
    </w:p>
    <w:p>
      <w:r>
        <w:t>Prospektive französische Kohortenstudie an 424 Typ-2-Diabetikern ohne bisherige kardiovaskuläre Ereignisse: Es wurde untersucht, ob das Vorliegen einer diabetischen Retinopathie zusammen mit dem Koronarkalk-Score die Vorhersage von Herzinfarkt, Schlaganfall, Herzschwäche und kardiovaskulärem Tod verbessert.</w:t>
      </w:r>
    </w:p>
    <w:p>
      <w:r>
        <w:rPr>
          <w:b/>
        </w:rPr>
        <w:t xml:space="preserve">Ergebnis: </w:t>
      </w:r>
      <w:r>
        <w:t>In 7 Jahren traten kardiovaskuläre Ereignisse bei 50 Patienten (11,8 %) auf. Diabetische Retinopathie war signifikant häufiger bei denen mit Ereignissen (58 % vs. 25 %, p &lt; 0,001). Die Kombination aus Retinopathie und Koronarkalk-Score erhöhte die diagnostische Aussagekraft: AUC stieg von 0,68 auf 0,75 (p = 0,01), nach Anpassung an klassische Risikofaktoren auf 0,79 (p = 0,04). Retinopathie reklassifizierte einen erheblichen Anteil von Patienten mit niedrigen bis mittleren Koronarkalk-Scores in höhere Risikokategorien.</w:t>
      </w:r>
    </w:p>
    <w:p>
      <w:r>
        <w:rPr>
          <w:b/>
          <w:sz w:val="19"/>
        </w:rPr>
        <w:t xml:space="preserve">Übertragbarkeit: </w:t>
      </w:r>
      <w:r>
        <w:rPr>
          <w:sz w:val="19"/>
        </w:rPr>
        <w:t>Frankreich, Universitätsklinik Paris mit strukturierter Erfassung - Konzept auf deutsche Kliniken übertragbar</w:t>
      </w:r>
    </w:p>
    <w:p>
      <w:r>
        <w:rPr>
          <w:color w:val="5A7D3A"/>
          <w:sz w:val="18"/>
        </w:rPr>
        <w:t>https://pubmed.ncbi.nlm.nih.gov/42907820/</w:t>
      </w:r>
    </w:p>
    <w:p>
      <w:pPr>
        <w:pStyle w:val="Heading2"/>
      </w:pPr>
      <w:r>
        <w:t>Mehr Glukosestoffwechsel-Defekte erhöhen Fettleberrisiko bei Prädiabetes</w:t>
      </w:r>
    </w:p>
    <w:p>
      <w:r>
        <w:rPr>
          <w:i/>
          <w:color w:val="666666"/>
          <w:sz w:val="18"/>
        </w:rPr>
        <w:t>He M et al.  ·  Diabetes Res Clin Pract  ·  21.10.2026  ·  PMID 42906758</w:t>
      </w:r>
    </w:p>
    <w:p>
      <w:r>
        <w:t>Prospektive chinesische Kohortenstudie mit 4.768 Teilnehmern ohne oder mit Prädiabetes über 3 Jahre: Untersucht wurde, wie die Anzahl gleichzeitiger Glukosestoffwechsel-Störungen (erhöhte Nüchternglukose, pathologische OGTT, erhöhtes HbA1c) mit der Entwicklung und dem Rückgang einer metabolisch dysfunktionalen Fettlebererkrankung assoziiert sind.</w:t>
      </w:r>
    </w:p>
    <w:p>
      <w:r>
        <w:rPr>
          <w:b/>
        </w:rPr>
        <w:t xml:space="preserve">Ergebnis: </w:t>
      </w:r>
      <w:r>
        <w:t>2.687 Patienten hatten zu Studienbeginn eine Fettleber. Verglichen mit normaler Glukosetoleranz war die bereinigte Wahrscheinlichkeit für eine neue Fettleber erhöht um 45 % (95%-KI 1,09–1,93) bei zwei gleichzeitigen Defekten und um 92 % (95%-KI 1,13–3,26) bei allen drei Defekten. Umgekehrt war die Wahrscheinlichkeit einer Fettleber-Rückbildung reduziert um 38 % (95%-KI 0,46–0,82) bzw. 62 % (95%-KI 0,23–0,61).</w:t>
      </w:r>
    </w:p>
    <w:p>
      <w:r>
        <w:rPr>
          <w:b/>
          <w:sz w:val="19"/>
        </w:rPr>
        <w:t xml:space="preserve">Übertragbarkeit: </w:t>
      </w:r>
      <w:r>
        <w:rPr>
          <w:sz w:val="19"/>
        </w:rPr>
        <w:t>China, aber biologisches Konzept und Studiendesign auf deutsches Gesundheitssystem übertragbar</w:t>
      </w:r>
    </w:p>
    <w:p>
      <w:r>
        <w:rPr>
          <w:color w:val="5A7D3A"/>
          <w:sz w:val="18"/>
        </w:rPr>
        <w:t>https://pubmed.ncbi.nlm.nih.gov/42906758/</w:t>
      </w:r>
    </w:p>
    <w:p>
      <w:pPr>
        <w:pStyle w:val="Heading2"/>
      </w:pPr>
      <w:r>
        <w:t>Neue Protein-Biomarker erkennen Nierenschaden bei Diabetes trotz normaler Albumin-Ausscheidung</w:t>
      </w:r>
    </w:p>
    <w:p>
      <w:r>
        <w:rPr>
          <w:i/>
          <w:color w:val="666666"/>
          <w:sz w:val="18"/>
        </w:rPr>
        <w:t>Moedt E et al.  ·  Diabetes  ·  21.10.2026  ·  PMID 42905866</w:t>
      </w:r>
    </w:p>
    <w:p>
      <w:r>
        <w:t>Klinische Studie an niederländischem Universitätsklinikum: Bei Typ-2-Diabetikern mit normaler Albuminurie und normaler Nierenfunktion wurde untersucht, ob neue Blut- und Urin-Proteine (TNFR-1, TNFR-2, KIM-1, MMP-7, uEGF/Cr) einen verborgenen Nierenschaden erkennen und einen Rückgang der Nierenfunktion vorhersagen, besser als die bisherige Albuminausscheidung.</w:t>
      </w:r>
    </w:p>
    <w:p>
      <w:r>
        <w:rPr>
          <w:b/>
        </w:rPr>
        <w:t xml:space="preserve">Ergebnis: </w:t>
      </w:r>
      <w:r>
        <w:t>Die Baseline-Albuminurie war nicht prädiktiv für den kombinierten Nieren-Endpunkt. Dagegen waren TNFR-1, TNFR-2, KIM-1 und MMP-7 unabhängig assoziiert. Bei Patienten, die einen Nierenfunktionsrückgang entwickelten, zeigten diese Biomarker und uEGF/Cr divergente Verläufe im Gegensatz zur stabilen Albuminurie.</w:t>
      </w:r>
    </w:p>
    <w:p>
      <w:r>
        <w:rPr>
          <w:b/>
          <w:sz w:val="19"/>
        </w:rPr>
        <w:t xml:space="preserve">Übertragbarkeit: </w:t>
      </w:r>
      <w:r>
        <w:rPr>
          <w:sz w:val="19"/>
        </w:rPr>
        <w:t>Niederlande, vergleichbares Versicherungssystem und Gesundheitsdokumentation</w:t>
      </w:r>
    </w:p>
    <w:p>
      <w:r>
        <w:rPr>
          <w:color w:val="5A7D3A"/>
          <w:sz w:val="18"/>
        </w:rPr>
        <w:t>https://pubmed.ncbi.nlm.nih.gov/42905866/</w:t>
      </w:r>
    </w:p>
    <w:p>
      <w:pPr>
        <w:pStyle w:val="Heading2"/>
      </w:pPr>
      <w:r>
        <w:t>Vor-OP-Schulung verbessert Vorbereitung auf Diabetes nach Pankreas-Entfernung mit Inselzell-Transplantation</w:t>
      </w:r>
    </w:p>
    <w:p>
      <w:r>
        <w:rPr>
          <w:i/>
          <w:color w:val="666666"/>
          <w:sz w:val="18"/>
        </w:rPr>
        <w:t>Tellez S et al.  ·  Diabetes Technol Ther  ·  19.10.2026  ·  PMID 42897853</w:t>
      </w:r>
    </w:p>
    <w:p>
      <w:r>
        <w:t>US-amerikanische Qualitätsverbesserungsstudie an 33 pädiatrischen Patienten, die sich einer Pankreatektomie mit Inselzell-Autotransplantation unterzogen: Untersucht wurde, ob eine strukturierte Diabetes-Schulung vor der Operation die Zeit für die klinische Schulung nach der Operation reduziert und die Vorbereitung der primären Bezugsperson auf komplexe Therapie (Insulinpumpe, kontinuierliche Glukosemessung) verbessert.</w:t>
      </w:r>
    </w:p>
    <w:p>
      <w:r>
        <w:rPr>
          <w:b/>
        </w:rPr>
        <w:t xml:space="preserve">Ergebnis: </w:t>
      </w:r>
      <w:r>
        <w:t>Die Schulungszeit vor der OP stieg statistisch signifikant in den späteren Kohorten (p = 0,0291 und p = 0,0007). Die stationäre Diabetes-Schulung nach OP nahm um 133 Minuten ab (p = 0,0717, marginal signifikant). Wissenstests dokumentierten einen wesentlichen Wissenserwerb, der von vor bis nach der OP erhalten blieb. Das Selbstvertrauen nahm zu (p = 0,063), die Zufriedenheitswerte blieben hoch.</w:t>
      </w:r>
    </w:p>
    <w:p>
      <w:r>
        <w:rPr>
          <w:b/>
          <w:sz w:val="19"/>
        </w:rPr>
        <w:t xml:space="preserve">Übertragbarkeit: </w:t>
      </w:r>
      <w:r>
        <w:rPr>
          <w:sz w:val="19"/>
        </w:rPr>
        <w:t>USA-Setting, aber Schulungskonzept auf deutsche Diabetes-Schwerpunktkliniken übertragbar</w:t>
      </w:r>
    </w:p>
    <w:p>
      <w:r>
        <w:rPr>
          <w:color w:val="5A7D3A"/>
          <w:sz w:val="18"/>
        </w:rPr>
        <w:t>https://pubmed.ncbi.nlm.nih.gov/42897853/</w:t>
      </w:r>
    </w:p>
    <w:p>
      <w:pPr>
        <w:pStyle w:val="Heading2"/>
      </w:pPr>
      <w:r>
        <w:t>Mazdutide senkt HbA1c stärker und Körpergewicht mehr als Dulaglutide</w:t>
      </w:r>
    </w:p>
    <w:p>
      <w:r>
        <w:rPr>
          <w:i/>
          <w:color w:val="666666"/>
          <w:sz w:val="18"/>
        </w:rPr>
        <w:t>Hassan M et al.  ·  Diabetol Metab Syndr  ·  24.07.2026  ·  PMID 42897592</w:t>
      </w:r>
    </w:p>
    <w:p>
      <w:r>
        <w:t>Systematische Übersicht und Metaanalyse: 3 randomisierte kontrollierte Studien mit insgesamt Hunderten von Typ-2-Diabetikern wurden verglichen, die Mazdutid (dualer GLP-1- und Glukagon-Rezeptoragonist) oder Dulaglutid (reiner GLP-1-Agonist) erhielten. Primäre Endpunkte waren HbA1c-Senkung, Körpergewichtsreduktion und Erreichung von Therapiezielen.</w:t>
      </w:r>
    </w:p>
    <w:p>
      <w:r>
        <w:rPr>
          <w:b/>
        </w:rPr>
        <w:t xml:space="preserve">Ergebnis: </w:t>
      </w:r>
      <w:r>
        <w:t>Mazdutid senkte HbA1c um zusätzliche 0,25 % und Körpergewicht um zusätzliche 2,97 kg mehr als Dulaglutid. Patienten erreichten häufiger HbA1c &lt; 7,0 % und ≥ 5 % Gewichtsabnahme sowie die kombinierte Ziel (HR nicht spezifisch beziffert, aber Trend zugunsten Mazdutid). Mazdutid war mit höheren Raten gastrointestinaler Nebenwirkungen assoziiert; schwerwiegende Nebenwirkungen und Studienabbrüche waren ähnlich. Evidenzsicherheit für Glykämie und Gewichtsendpunkte: hoch.</w:t>
      </w:r>
    </w:p>
    <w:p>
      <w:r>
        <w:rPr>
          <w:b/>
          <w:sz w:val="19"/>
        </w:rPr>
        <w:t xml:space="preserve">Übertragbarkeit: </w:t>
      </w:r>
      <w:r>
        <w:rPr>
          <w:sz w:val="19"/>
        </w:rPr>
        <w:t>Globale RCT-Daten, biologisch unabhängig von Gesundheitssystem</w:t>
      </w:r>
    </w:p>
    <w:p>
      <w:r>
        <w:rPr>
          <w:color w:val="5A7D3A"/>
          <w:sz w:val="18"/>
        </w:rPr>
        <w:t>https://pubmed.ncbi.nlm.nih.gov/42897592/</w:t>
      </w:r>
    </w:p>
    <w:p>
      <w:pPr>
        <w:pStyle w:val="Heading1"/>
      </w:pPr>
      <w:r>
        <w:t>Aufgenommen am 22.10.2026</w:t>
      </w:r>
    </w:p>
    <w:p>
      <w:pPr>
        <w:pStyle w:val="Heading2"/>
      </w:pPr>
      <w:r>
        <w:t>Digitale Nudges gegen nächtliche Snacks: Kein Effekt auf Glukose trotz Machbarkeit</w:t>
      </w:r>
    </w:p>
    <w:p>
      <w:r>
        <w:rPr>
          <w:i/>
          <w:color w:val="666666"/>
          <w:sz w:val="18"/>
        </w:rPr>
        <w:t>Zhao L et al.  ·  Diabetes Obes Metab  ·  20.10.2026  ·  PMID 42901530</w:t>
      </w:r>
    </w:p>
    <w:p>
      <w:r>
        <w:t>Australische micro-randomized trial mit 56 Typ-2-Diabetes-Patienten, die nächtliche Snacker waren, zu Smartphone-App-Nudges nach dem Abendessen gemessen via CGM über zwei Wochen.</w:t>
      </w:r>
    </w:p>
    <w:p>
      <w:r>
        <w:rPr>
          <w:b/>
        </w:rPr>
        <w:t xml:space="preserve">Ergebnis: </w:t>
      </w:r>
      <w:r>
        <w:t>Über die gesamte 2-Wochen-Periode zeigte sich kein Gesamteffekt der Nudges auf die primäre Outcome (inkrementelle Fläche unter CGM-Kurve 90 min bis 4 Uhr morgens, net-iAUC). Sekundäranalysen zeigten initiale Nudge-Effekte, die über die Zeit abschwächten; ähnliches Muster für Time-in-Range. Die Studie demonstrierte Machbarkeit der just-in-time-Intervention, ohne bleibenden glykaemischen Nutzen.</w:t>
      </w:r>
    </w:p>
    <w:p>
      <w:r>
        <w:rPr>
          <w:b/>
          <w:sz w:val="19"/>
        </w:rPr>
        <w:t xml:space="preserve">Übertragbarkeit: </w:t>
      </w:r>
      <w:r>
        <w:rPr>
          <w:sz w:val="19"/>
        </w:rPr>
        <w:t>Australische Studie mit gut dokumentierten CGM-Daten; Übertragbarkeit auf D begrenzt durch unterschiedliche Versorgungszugänge.</w:t>
      </w:r>
    </w:p>
    <w:p>
      <w:r>
        <w:rPr>
          <w:color w:val="5A7D3A"/>
          <w:sz w:val="18"/>
        </w:rPr>
        <w:t>https://pubmed.ncbi.nlm.nih.gov/42901530/</w:t>
      </w:r>
    </w:p>
    <w:p>
      <w:pPr>
        <w:pStyle w:val="Heading2"/>
      </w:pPr>
      <w:r>
        <w:t>CGM-Metriken und kardiorenale Endpunkte: GMI und HbA1c gleichwertig prognostisch</w:t>
      </w:r>
    </w:p>
    <w:p>
      <w:r>
        <w:rPr>
          <w:i/>
          <w:color w:val="666666"/>
          <w:sz w:val="18"/>
        </w:rPr>
        <w:t>Tang M et al.  ·  J Diabetes Complications  ·  19.10.2026  ·  PMID 42901039</w:t>
      </w:r>
    </w:p>
    <w:p>
      <w:r>
        <w:t>US-amerikanische prospektive Substudie mit 1363 Typ-2-Diabetes-Patienten mit ≥10-Tage-CGM zur Frage, ob CGM-abgeleitete Time in Range (TIR) und Glucose Management Indicator (GMI) kardiovaskuläre und nierenale Ergebnisse besser vorhersagen als HbA1c.</w:t>
      </w:r>
    </w:p>
    <w:p>
      <w:r>
        <w:rPr>
          <w:b/>
        </w:rPr>
        <w:t xml:space="preserve">Ergebnis: </w:t>
      </w:r>
      <w:r>
        <w:t>Über medianen 2,3 Jahren traten 74 kardiovaskuläre Ereignisse/Todesfälle auf; eGFR-Slope −2,37 mL/min/1,73m²/Jahr. GMI, HbA1c und TIR waren jeweils signifikant mit kardiovaskulären Ereignissen/Todesfällen assoziiert (adjustierte HR 1,44 [1,21–1,71] pro 1 % GMI; 1,37 [1,16–1,61] pro 1 % HbA1c; 0,73 [0,61–0,87] pro 20 % TIR). Höhere GMI und HbA1c korrelierten mit schnellerem eGFR-Rückgang. Nach gegenseitiger Anpassung waren die Assoziationen abgeschwächt, GMI und HbA1c blieben vergleichbar assoziiert.</w:t>
      </w:r>
    </w:p>
    <w:p>
      <w:r>
        <w:rPr>
          <w:b/>
          <w:sz w:val="19"/>
        </w:rPr>
        <w:t xml:space="preserve">Übertragbarkeit: </w:t>
      </w:r>
      <w:r>
        <w:rPr>
          <w:sz w:val="19"/>
        </w:rPr>
        <w:t>USA (Medicare-ähnliche Datenbasis), aber Sicherheits- und Endpunkt-Befunde sind grundsätzlich übertragbar.</w:t>
      </w:r>
    </w:p>
    <w:p>
      <w:r>
        <w:rPr>
          <w:color w:val="5A7D3A"/>
          <w:sz w:val="18"/>
        </w:rPr>
        <w:t>https://pubmed.ncbi.nlm.nih.gov/42901039/</w:t>
      </w:r>
    </w:p>
    <w:p>
      <w:pPr>
        <w:pStyle w:val="Heading2"/>
      </w:pPr>
      <w:r>
        <w:t>Kohlenhydratarme Ernährung bei Gestationsdiabetes: Glykämie verbessert, Geburtsgewicht sinkt</w:t>
      </w:r>
    </w:p>
    <w:p>
      <w:r>
        <w:rPr>
          <w:i/>
          <w:color w:val="666666"/>
          <w:sz w:val="18"/>
        </w:rPr>
        <w:t>Ahmad E et al.  ·  Diabetes Care  ·  20.10.2026  ·  PMID 42900778</w:t>
      </w:r>
    </w:p>
    <w:p>
      <w:r>
        <w:t>Randomisierte Sekundäranalyse von 215 Frauen mit Gestationsdiabetes zur Frage, ob Kohlenhydratrestriktion (&lt;175 g/Tag oder &lt;120 g/Tag) Glykämie und perinatale Ergebnisse beeinflusst.</w:t>
      </w:r>
    </w:p>
    <w:p>
      <w:r>
        <w:rPr>
          <w:b/>
        </w:rPr>
        <w:t xml:space="preserve">Ergebnis: </w:t>
      </w:r>
      <w:r>
        <w:t>Frauen mit Aufnahme &lt;120 g Kohlenhydrate/Tag zeigten niedrigere Time Above Range &gt;120 mg/dL (−6,8 %; 95%-KI −13,4 % bis −0,2 %; p=0,044) und geringeres Geburtsgewicht (−9,6 Zentile; 95%-KI −18,7 bis −0,6; p=0,037), aber keine Unterschiede bei abnormal großen oder kleinen Neugeborenen. Aufnahme &lt;35 % Kohlenhydrate ohne Energierestriktion senkte Time Above Range ebenfalls, ohne Gewichtseffekt. Niedrigere Kohlenhydrataufnahmen waren mit reduzierter Zufuhr von Vitaminen B und E sowie Mineralstoffen verbunden.</w:t>
      </w:r>
    </w:p>
    <w:p>
      <w:r>
        <w:rPr>
          <w:b/>
          <w:sz w:val="19"/>
        </w:rPr>
        <w:t xml:space="preserve">Übertragbarkeit: </w:t>
      </w:r>
      <w:r>
        <w:rPr>
          <w:sz w:val="19"/>
        </w:rPr>
        <w:t>UK-Studie im NHS-Setting, vergleichbare Versorgungsstruktur und Dokumentation.</w:t>
      </w:r>
    </w:p>
    <w:p>
      <w:r>
        <w:rPr>
          <w:color w:val="5A7D3A"/>
          <w:sz w:val="18"/>
        </w:rPr>
        <w:t>https://pubmed.ncbi.nlm.nih.gov/42900778/</w:t>
      </w:r>
    </w:p>
    <w:p>
      <w:pPr>
        <w:pStyle w:val="Heading2"/>
      </w:pPr>
      <w:r>
        <w:t>Leitfaden für Phase-3-Studien zu krankheitsmodifizierenden Therapien bei Typ-1-Diabetes</w:t>
      </w:r>
    </w:p>
    <w:p>
      <w:r>
        <w:rPr>
          <w:i/>
          <w:color w:val="666666"/>
          <w:sz w:val="18"/>
        </w:rPr>
        <w:t>Vieth JA et al.  ·  Diabetes  ·  20.10.2026  ·  PMID 42900744</w:t>
      </w:r>
    </w:p>
    <w:p>
      <w:r>
        <w:t>Multizentrisch konsensusbasierte Expertenpapier zum Design klinischer Studien für krankheitsmodifizierende Therapien (DMT) bei Typ-1-Diabetes von Breakthrough T1D und klinischen Entwicklungspartnern.</w:t>
      </w:r>
    </w:p>
    <w:p>
      <w:r>
        <w:rPr>
          <w:b/>
        </w:rPr>
        <w:t xml:space="preserve">Ergebnis: </w:t>
      </w:r>
      <w:r>
        <w:t>Mehrere DMT haben den progressiven β-Zell-Funktionsverlust in Typ-1-Diabetes über verschiedenste Wirkmechanismen reduziert. Nur eine Therapie erhielt regulatorische Zulassung; wenige Phase-3-Studien wurden durchgeführt. Papier bietet Roadmap für Regulierungsstrategie, Inklusions- und Ausschlusskriterien sowie Endpunkt-Selektion für Entwickler. Empfehlungen umfassen: klare Staging-Definitionen (Stage 2 vs. Stage 3 T1D), harmonisierte Endpunkte (β-Zell-Funktion, metabolische Kontrolle), realistische Follow-up-Dauer und Subgruppenanalysen-Pläne.</w:t>
      </w:r>
    </w:p>
    <w:p>
      <w:r>
        <w:rPr>
          <w:b/>
          <w:sz w:val="19"/>
        </w:rPr>
        <w:t xml:space="preserve">Übertragbarkeit: </w:t>
      </w:r>
      <w:r>
        <w:rPr>
          <w:sz w:val="19"/>
        </w:rPr>
        <w:t>Normen für internationale Studiendesign; in Deutschland anwendbar auf DMT-Bewertungen durch Nutzenbewertung.</w:t>
      </w:r>
    </w:p>
    <w:p>
      <w:r>
        <w:rPr>
          <w:color w:val="5A7D3A"/>
          <w:sz w:val="18"/>
        </w:rPr>
        <w:t>https://pubmed.ncbi.nlm.nih.gov/42900744/</w:t>
      </w:r>
    </w:p>
    <w:p>
      <w:pPr>
        <w:pStyle w:val="Heading2"/>
      </w:pPr>
      <w:r>
        <w:t>Epigenetische Alterung bei Diabetischer Nephropathie: Biomarker für Progression identifiziert</w:t>
      </w:r>
    </w:p>
    <w:p>
      <w:r>
        <w:rPr>
          <w:i/>
          <w:color w:val="666666"/>
          <w:sz w:val="18"/>
        </w:rPr>
        <w:t>Hill C et al.  ·  Diabetes  ·  20.10.2026  ·  PMID 42900742</w:t>
      </w:r>
    </w:p>
    <w:p>
      <w:r>
        <w:t>Europäische prospektive Kohortenstudie (FinnDiane und GENIE Consortium) mit Typ-1-Diabetes-Patienten zum Vergleich von 10 epigenetischen Uhren (Clocks) und deren Assoziation mit Diabetischer Nierenkrankheit (DKD) und eGFR-Rückgang.</w:t>
      </w:r>
    </w:p>
    <w:p>
      <w:r>
        <w:rPr>
          <w:b/>
        </w:rPr>
        <w:t xml:space="preserve">Ergebnis: </w:t>
      </w:r>
      <w:r>
        <w:t>Ältere epigenetische Phänotyp-Alterung (EAA) und kürzere epigenetisch vorhergesagte Telomerlängen waren signifikant mit DKD assoziiert. Progression von Normoalbuminurie zu hochgradiger Albuminurie war mit erhöhter EAA verknüpft. Alter, epigenetisches Alter und EAA waren signifikante Prädiktoren der Progression zu terminaler Niereninsuffizienz. Befunde stützen Entwicklung epigenetischer Biomarker zur Vorhersage von DKD-Beginn und Progression.</w:t>
      </w:r>
    </w:p>
    <w:p>
      <w:r>
        <w:rPr>
          <w:b/>
          <w:sz w:val="19"/>
        </w:rPr>
        <w:t xml:space="preserve">Übertragbarkeit: </w:t>
      </w:r>
      <w:r>
        <w:rPr>
          <w:sz w:val="19"/>
        </w:rPr>
        <w:t>Finnland, UK, Italien, Australien – europäische Partnerzentren und etablierte Kohorten; grundsätzlich auf deutsches T1DM-Screening übertragbar.</w:t>
      </w:r>
    </w:p>
    <w:p>
      <w:r>
        <w:rPr>
          <w:color w:val="5A7D3A"/>
          <w:sz w:val="18"/>
        </w:rPr>
        <w:t>https://pubmed.ncbi.nlm.nih.gov/42900742/</w:t>
      </w:r>
    </w:p>
    <w:p>
      <w:pPr>
        <w:pStyle w:val="Heading2"/>
      </w:pPr>
      <w:r>
        <w:t>Phänotypische Heterogenität von Typ-2-Diabetes bestätigt: Konzeptionelle Klärung für Versorgung</w:t>
      </w:r>
    </w:p>
    <w:p>
      <w:r>
        <w:rPr>
          <w:i/>
          <w:color w:val="666666"/>
          <w:sz w:val="18"/>
        </w:rPr>
        <w:t>Mori T et al.  ·  Diabetologia  ·  30.09.2026  ·  PMID 42823462</w:t>
      </w:r>
    </w:p>
    <w:p>
      <w:r>
        <w:t>Deutsche und britische Autorengruppe (Universitäten Göttingen, Düsseldorf, Exeter) publiziert erweiterte Stellungnahme zu Typ-2-Diabetes-Untertypen, Ätiologie und Pathophysiologie als Reply auf kritischen Kommentar zur Clustervariabilität.</w:t>
      </w:r>
    </w:p>
    <w:p>
      <w:r>
        <w:rPr>
          <w:b/>
        </w:rPr>
        <w:t xml:space="preserve">Ergebnis: </w:t>
      </w:r>
      <w:r>
        <w:t>Autoren bestätigen, dass Typ-2-Diabetes keine monolitische Erkrankung ist, sondern ein heterogenes Spektrum phänotypischer Subtypen mit unterschiedlichen zugrunde liegenden pathophysiologischen Mechanismen widerspiegelt. Diese Differenzierung ist klinisch relevant für Stratifizierung von Patienten, Prognose-Abschätzung und möglicherweise für personalisierte Therapieansätze. Stellungnahme betont Bedeutung molekularer Charakterisierung über reine glykämische Klassifikation hinaus.</w:t>
      </w:r>
    </w:p>
    <w:p>
      <w:r>
        <w:rPr>
          <w:b/>
          <w:sz w:val="19"/>
        </w:rPr>
        <w:t xml:space="preserve">Übertragbarkeit: </w:t>
      </w:r>
      <w:r>
        <w:rPr>
          <w:sz w:val="19"/>
        </w:rPr>
        <w:t>Deutsche Forschungseinrichtungen (DZD, Universitäten Göttingen, Düsseldorf), direkt anwendbar auf DMP-Weiterentwicklung in Deutschland.</w:t>
      </w:r>
    </w:p>
    <w:p>
      <w:r>
        <w:rPr>
          <w:color w:val="5A7D3A"/>
          <w:sz w:val="18"/>
        </w:rPr>
        <w:t>https://pubmed.ncbi.nlm.nih.gov/42823462/</w:t>
      </w:r>
    </w:p>
    <w:p>
      <w:pPr>
        <w:pStyle w:val="Heading1"/>
      </w:pPr>
      <w:r>
        <w:t>Aufgenommen am 21.10.2026</w:t>
      </w:r>
    </w:p>
    <w:p>
      <w:pPr>
        <w:pStyle w:val="Heading2"/>
      </w:pPr>
      <w:r>
        <w:t>Globale Insulinversorgung: Herausforderungen, Marktstruktur und Fertigungsinnovation</w:t>
      </w:r>
    </w:p>
    <w:p>
      <w:r>
        <w:rPr>
          <w:i/>
          <w:color w:val="666666"/>
          <w:sz w:val="18"/>
        </w:rPr>
        <w:t>Hirsch IB et al.  ·  Diabetes Res Clin Pract  ·  20.10.2026  ·  PMID 42901293</w:t>
      </w:r>
    </w:p>
    <w:p>
      <w:r>
        <w:t>Narrative Übersichtsarbeit zur globalen Insulinnachfrage, Versorgungsunsicherheit, Marktstruktur und Lösungsansätze unter Berücksichtigung von Ländern mit niedrigem/mittlerem Einkommen und hochentwickelten Systemen.</w:t>
      </w:r>
    </w:p>
    <w:p>
      <w:r>
        <w:rPr>
          <w:b/>
        </w:rPr>
        <w:t xml:space="preserve">Ergebnis: </w:t>
      </w:r>
      <w:r>
        <w:t>Dokumentierte Unterbrechungen zeigen kein globales Produktionsdefizit, aber kommerzielle, regulatorische und Verteilungsbarrieren begrenzen Zugang. Kontinuierliche Produktion könnte Effizienz erhöhen, benötigt aber Insulinspezifische Validierung. Prioritäten: Überwachung von Engpässen, diversifizierte qualifizierte Lieferanten, regulatorische Kooperation, nachhaltige Beschaffung, sichere Lagerung und Bildung.</w:t>
      </w:r>
    </w:p>
    <w:p>
      <w:r>
        <w:rPr>
          <w:b/>
          <w:sz w:val="19"/>
        </w:rPr>
        <w:t xml:space="preserve">Übertragbarkeit: </w:t>
      </w:r>
      <w:r>
        <w:rPr>
          <w:sz w:val="19"/>
        </w:rPr>
        <w:t>Deutschland/Europa – Versorgungssicherheit zentral für DMPs und Kostenträger</w:t>
      </w:r>
    </w:p>
    <w:p>
      <w:r>
        <w:rPr>
          <w:color w:val="5A7D3A"/>
          <w:sz w:val="18"/>
        </w:rPr>
        <w:t>https://pubmed.ncbi.nlm.nih.gov/42901293/</w:t>
      </w:r>
    </w:p>
    <w:p>
      <w:pPr>
        <w:pStyle w:val="Heading2"/>
      </w:pPr>
      <w:r>
        <w:t>DASH4D-Diät bessert Blutdruck und Glykämie bei Typ-2-Diabetes mit Hypertonie</w:t>
      </w:r>
    </w:p>
    <w:p>
      <w:r>
        <w:rPr>
          <w:i/>
          <w:color w:val="666666"/>
          <w:sz w:val="18"/>
        </w:rPr>
        <w:t>Selvin E et al.  ·  Diabetes Care  ·  20.10.2026  ·  PMID 42900851</w:t>
      </w:r>
    </w:p>
    <w:p>
      <w:r>
        <w:t>Randomisierte Studie zur modifizierten DASH-Ernährung (DASH for Diabetes) bei Erwachsenen mit Typ-2-Diabetes und Hypertonie.</w:t>
      </w:r>
    </w:p>
    <w:p>
      <w:r>
        <w:rPr>
          <w:b/>
        </w:rPr>
        <w:t xml:space="preserve">Ergebnis: </w:t>
      </w:r>
      <w:r>
        <w:t>DASH4D reduzierte Blutdruck und verbesserte glykämische Kontrolle signifikant gegenüber Kontrollgruppe. Die Autoren empfehlen DASH4D als standardisierte Ernährungsvorgabe neben individualisierter Ernährungsberatung.</w:t>
      </w:r>
    </w:p>
    <w:p>
      <w:r>
        <w:rPr>
          <w:b/>
          <w:sz w:val="19"/>
        </w:rPr>
        <w:t xml:space="preserve">Übertragbarkeit: </w:t>
      </w:r>
      <w:r>
        <w:rPr>
          <w:sz w:val="19"/>
        </w:rPr>
        <w:t>USA - Ernährungsempfehlungen sind unabhängig vom Gesundheitssystem übertragbar</w:t>
      </w:r>
    </w:p>
    <w:p>
      <w:r>
        <w:rPr>
          <w:color w:val="5A7D3A"/>
          <w:sz w:val="18"/>
        </w:rPr>
        <w:t>https://pubmed.ncbi.nlm.nih.gov/42900851/</w:t>
      </w:r>
    </w:p>
    <w:p>
      <w:pPr>
        <w:pStyle w:val="Heading2"/>
      </w:pPr>
      <w:r>
        <w:t>Beta-Zell-Funktionsverlust ist der Schlüssel zu Prävention und Therapie des Typ-2-Diabetes</w:t>
      </w:r>
    </w:p>
    <w:p>
      <w:r>
        <w:rPr>
          <w:i/>
          <w:color w:val="666666"/>
          <w:sz w:val="18"/>
        </w:rPr>
        <w:t>Kahn SE  ·  Diabetes  ·  01.11.2026  ·  PMID 42900804</w:t>
      </w:r>
    </w:p>
    <w:p>
      <w:r>
        <w:t>Banting-Medaillen-Vortrag zu neuesten Erkenntnissen über Beta-Zell-Funktion und -masse in der Pathogenese des Typ-2-Diabetes mit Diskussion präventiver Strategien.</w:t>
      </w:r>
    </w:p>
    <w:p>
      <w:r>
        <w:rPr>
          <w:b/>
        </w:rPr>
        <w:t xml:space="preserve">Ergebnis: </w:t>
      </w:r>
      <w:r>
        <w:t>Beta-Zell-Funktion ist bei Prä-Diabetes um 40%, bei neu diagnostiziertem Typ-2-Diabetes um &gt;80% reduziert. Keine aktuellen Therapien stoppen den Funktionsverlust. Islet-Amyloid-Formation fördert Stress, Entzündung und Beta-Zell-Tod. Fokus muss auf Reduktion der Amyloidbildung liegen.</w:t>
      </w:r>
    </w:p>
    <w:p>
      <w:r>
        <w:rPr>
          <w:b/>
          <w:sz w:val="19"/>
        </w:rPr>
        <w:t xml:space="preserve">Übertragbarkeit: </w:t>
      </w:r>
      <w:r>
        <w:rPr>
          <w:sz w:val="19"/>
        </w:rPr>
        <w:t>Pathophysiologisches Konzept, zentral für Therapieentwicklung weltweit</w:t>
      </w:r>
    </w:p>
    <w:p>
      <w:r>
        <w:rPr>
          <w:color w:val="5A7D3A"/>
          <w:sz w:val="18"/>
        </w:rPr>
        <w:t>https://pubmed.ncbi.nlm.nih.gov/42900804/</w:t>
      </w:r>
    </w:p>
    <w:p>
      <w:pPr>
        <w:pStyle w:val="Heading2"/>
      </w:pPr>
      <w:r>
        <w:t>Tirzepatid in CKD-Typ-2-Diabetes: Gewicht, Albuminurie und Nierenfunktion bessern sich, eGFR stabil</w:t>
      </w:r>
    </w:p>
    <w:p>
      <w:r>
        <w:rPr>
          <w:i/>
          <w:color w:val="666666"/>
          <w:sz w:val="18"/>
        </w:rPr>
        <w:t>Carruthers JE et al.  ·  Diabet Med  ·  19.10.2026  ·  PMID 42897718</w:t>
      </w:r>
    </w:p>
    <w:p>
      <w:r>
        <w:t>Reale Kohortenstudie an 62 Multi-Ethnos-Patienten mit CKD-Stadien 1–5 und Typ-2-Diabetes plus Adipositas unter Tirzepatid, Nachbeobachtung 21,4 Wochen.</w:t>
      </w:r>
    </w:p>
    <w:p>
      <w:r>
        <w:rPr>
          <w:b/>
        </w:rPr>
        <w:t xml:space="preserve">Ergebnis: </w:t>
      </w:r>
      <w:r>
        <w:t>Tirzepatid: Körpergewicht 103→100 kg (p&lt;0,0001), HbA1c 63→54 mmol/mol, 7,9%→7,1% (p=0,002), uACR 111→44 mg/mmol (p=0,008). eGFR stabil. Triglyzeride, Gesamtcholesterin, LDL und Insulindosis verbessert. Gastrointestinale Symptome und erniedrigte Serum-Bikarbonat häufigste Nebenwirkungen.</w:t>
      </w:r>
    </w:p>
    <w:p>
      <w:r>
        <w:rPr>
          <w:b/>
          <w:sz w:val="19"/>
        </w:rPr>
        <w:t xml:space="preserve">Übertragbarkeit: </w:t>
      </w:r>
      <w:r>
        <w:rPr>
          <w:sz w:val="19"/>
        </w:rPr>
        <w:t>UK – reale Real-World-Evidenz, Krankenhausversorgung vergleichbar</w:t>
      </w:r>
    </w:p>
    <w:p>
      <w:r>
        <w:rPr>
          <w:color w:val="5A7D3A"/>
          <w:sz w:val="18"/>
        </w:rPr>
        <w:t>https://pubmed.ncbi.nlm.nih.gov/42897718/</w:t>
      </w:r>
    </w:p>
    <w:p>
      <w:pPr>
        <w:pStyle w:val="Heading2"/>
      </w:pPr>
      <w:r>
        <w:t>Karotis-Atherose sagt kardiovaskuläre Ereignisse und Mortalität im Typ-1-Diabetes voraus</w:t>
      </w:r>
    </w:p>
    <w:p>
      <w:r>
        <w:rPr>
          <w:i/>
          <w:color w:val="666666"/>
          <w:sz w:val="18"/>
        </w:rPr>
        <w:t>Viñals C et al.  ·  Cardiovasc Diabetol  ·  23.07.2026  ·  PMID 42897549</w:t>
      </w:r>
    </w:p>
    <w:p>
      <w:r>
        <w:t>Prospektive Kohortenstudie an 701 Erwachsenen mit Typ-1-Diabetes, mittleres Follow-up 5,85 Jahre; Screening mit Karotis-Ultraschall zur Vorhersage kardiovaskulärer Ereignisse und Sterblichkeit.</w:t>
      </w:r>
    </w:p>
    <w:p>
      <w:r>
        <w:rPr>
          <w:b/>
        </w:rPr>
        <w:t xml:space="preserve">Ergebnis: </w:t>
      </w:r>
      <w:r>
        <w:t>Karotis-Plaques bei 40,4% nachgewiesen. 45 kardiovaskuläre Ereignisse und 5 Todesfälle. Hohes Plaque-Burden (≥3 Plaques) mit kardiovaskulären Ereignissen assoziiert (HR 3,38; 95%-KI 1,37–8,38) und Composite-Endpunkt (HR 2,64; 95%-KI 1,13–6,21), unabhängig von anderen Faktoren.</w:t>
      </w:r>
    </w:p>
    <w:p>
      <w:r>
        <w:rPr>
          <w:b/>
          <w:sz w:val="19"/>
        </w:rPr>
        <w:t xml:space="preserve">Übertragbarkeit: </w:t>
      </w:r>
      <w:r>
        <w:rPr>
          <w:sz w:val="19"/>
        </w:rPr>
        <w:t>Spanien - Screening-Methode für europäische Versorgung validierbar</w:t>
      </w:r>
    </w:p>
    <w:p>
      <w:r>
        <w:rPr>
          <w:color w:val="5A7D3A"/>
          <w:sz w:val="18"/>
        </w:rPr>
        <w:t>https://pubmed.ncbi.nlm.nih.gov/42897549/</w:t>
      </w:r>
    </w:p>
    <w:p>
      <w:pPr>
        <w:pStyle w:val="Heading2"/>
      </w:pPr>
      <w:r>
        <w:t>DBLG1-Hybrid-Closed-Loop hält Time-in-Range über 70% über 12 Monate, Mahlzeitmeldung verbessert Kontrolle</w:t>
      </w:r>
    </w:p>
    <w:p>
      <w:r>
        <w:rPr>
          <w:i/>
          <w:color w:val="666666"/>
          <w:sz w:val="18"/>
        </w:rPr>
        <w:t>Benhamou PY et al.  ·  Diabetes Obes Metab  ·  19.10.2026  ·  PMID 42897118</w:t>
      </w:r>
    </w:p>
    <w:p>
      <w:r>
        <w:t>Prospektive Studie an 2014 europäischen Typ-1-Diabetes-Patienten unter neuester Version des DBLG1-Systems mit Kaleido-Patch-Pumpe, Nachbeobachtung bis 12 Monate.</w:t>
      </w:r>
    </w:p>
    <w:p>
      <w:r>
        <w:rPr>
          <w:b/>
        </w:rPr>
        <w:t xml:space="preserve">Ergebnis: </w:t>
      </w:r>
      <w:r>
        <w:t>Mediane TIR 70–72% über alle Zeitpunkte (M3–M12), GMI 7,0–7,1%, schwere Hypo- oder Hyperglykämien sehr selten. Patienten mit ≥3 Mahlzeitmeldungen/Tag: TIR 73,3% vs. &lt;1 Meldung/Tag: 65,7% (p&lt;0,0001). Software zeigte Sicherheit und Effektivität auch bei schlechterer Adhärenz.</w:t>
      </w:r>
    </w:p>
    <w:p>
      <w:r>
        <w:rPr>
          <w:b/>
          <w:sz w:val="19"/>
        </w:rPr>
        <w:t xml:space="preserve">Übertragbarkeit: </w:t>
      </w:r>
      <w:r>
        <w:rPr>
          <w:sz w:val="19"/>
        </w:rPr>
        <w:t>Frankreich/Europa – Closed-Loop-Technologie, regulatorisch bewährt</w:t>
      </w:r>
    </w:p>
    <w:p>
      <w:r>
        <w:rPr>
          <w:color w:val="5A7D3A"/>
          <w:sz w:val="18"/>
        </w:rPr>
        <w:t>https://pubmed.ncbi.nlm.nih.gov/42897118/</w:t>
      </w:r>
    </w:p>
    <w:p>
      <w:pPr>
        <w:pStyle w:val="Heading1"/>
      </w:pPr>
      <w:r>
        <w:t>Aufgenommen am 20.10.2026</w:t>
      </w:r>
    </w:p>
    <w:p>
      <w:pPr>
        <w:pStyle w:val="Heading2"/>
      </w:pPr>
      <w:r>
        <w:t>Insulin Degludec senkt Sterblichkeit gegenüber Insulin Glargine in Schwedenregister</w:t>
      </w:r>
    </w:p>
    <w:p>
      <w:r>
        <w:rPr>
          <w:i/>
          <w:color w:val="666666"/>
          <w:sz w:val="18"/>
        </w:rPr>
        <w:t>Nyström T et al.  ·  Diabetes Obes Metab  ·  19.10.2026  ·  PMID 42897087</w:t>
      </w:r>
    </w:p>
    <w:p>
      <w:r>
        <w:t>Target-Trial-Emulation mit Daten aus dem Schwedischen Nationalen Diabetesregister, die 44.890 Patienten mit Typ-2-Diabetes verglichen, die Insulin Degludec oder Glargine zwischen 2012 und 2022 angesetzt bekamen.</w:t>
      </w:r>
    </w:p>
    <w:p>
      <w:r>
        <w:rPr>
          <w:b/>
        </w:rPr>
        <w:t xml:space="preserve">Ergebnis: </w:t>
      </w:r>
      <w:r>
        <w:t>Im Trial-geeigneten Kohort war MACE (Myokardinfarkt, Schlaganfall, kardiovaskulärer Tod) zwischen Degludec und Glargine nicht signifikant unterschiedlich (HR 1,10, 95%-KI 0,91–1,34), doch Degludec zeigte niedrigere Gesamtsterblichkeit (HR 0,75, 95%-KI 0,62–0,92, p=0,002). Im Trial-ungeeigneten Kohort war MACE unter Degludec günstiger (HR 0,80, 95%-KI 0,67–0,95, p=0,004) und alle untersuchten Sicherheitsergebnisse verbessert.</w:t>
      </w:r>
    </w:p>
    <w:p>
      <w:r>
        <w:rPr>
          <w:b/>
          <w:sz w:val="19"/>
        </w:rPr>
        <w:t xml:space="preserve">Übertragbarkeit: </w:t>
      </w:r>
      <w:r>
        <w:rPr>
          <w:sz w:val="19"/>
        </w:rPr>
        <w:t>Schwedische Registerdaten, vergleichbares Gesundheitssystem; Ergebnis relevant für Insulinwahl in Deutschland.</w:t>
      </w:r>
    </w:p>
    <w:p>
      <w:r>
        <w:rPr>
          <w:color w:val="5A7D3A"/>
          <w:sz w:val="18"/>
        </w:rPr>
        <w:t>https://pubmed.ncbi.nlm.nih.gov/42897087/</w:t>
      </w:r>
    </w:p>
    <w:p>
      <w:pPr>
        <w:pStyle w:val="Heading2"/>
      </w:pPr>
      <w:r>
        <w:t>Smart-MDI-System bei Typ-1-Diabetes: Alertbenachrichtigungen verbessern Glukosekontrolle</w:t>
      </w:r>
    </w:p>
    <w:p>
      <w:r>
        <w:rPr>
          <w:i/>
          <w:color w:val="666666"/>
          <w:sz w:val="18"/>
        </w:rPr>
        <w:t>Crenier L et al.  ·  Diabetes Obes Metab  ·  19.10.2026  ·  PMID 42896857</w:t>
      </w:r>
    </w:p>
    <w:p>
      <w:r>
        <w:t>Randomisierte Studie, die ein intelligentes Mehrfachinjektionssystem (Smart MDI) mit kontinuierlicher Glukosemessung (CGM) bei 143 Patienten mit Typ-1-Diabetes und HbA1c ≥8 % über 6 Monate verglich.</w:t>
      </w:r>
    </w:p>
    <w:p>
      <w:r>
        <w:rPr>
          <w:b/>
        </w:rPr>
        <w:t xml:space="preserve">Ergebnis: </w:t>
      </w:r>
      <w:r>
        <w:t>Der Smart MDI war gegenüber MDI+CGM nicht unterlegen bezüglich Time in Range (TIR-Differenz 0,19 Prozentpunkte, 95%-KI -4,9 bis 5,3) und HbA1c (Differenz -0,13, -0,46 bis 0,19). Patienten, die auf &gt;28 % der Alerts reagierten, zeigten jedoch signifikante Gewinne: +8,12 Prozentpunkte TIR und -0,6 % HbA1c-Reduktion (p=0,02 bis 0,04).</w:t>
      </w:r>
    </w:p>
    <w:p>
      <w:r>
        <w:rPr>
          <w:b/>
          <w:sz w:val="19"/>
        </w:rPr>
        <w:t xml:space="preserve">Übertragbarkeit: </w:t>
      </w:r>
      <w:r>
        <w:rPr>
          <w:sz w:val="19"/>
        </w:rPr>
        <w:t>Multinationale europäische Studie; Technologien sind in deutschen DMP verfügbar.</w:t>
      </w:r>
    </w:p>
    <w:p>
      <w:r>
        <w:rPr>
          <w:color w:val="5A7D3A"/>
          <w:sz w:val="18"/>
        </w:rPr>
        <w:t>https://pubmed.ncbi.nlm.nih.gov/42896857/</w:t>
      </w:r>
    </w:p>
    <w:p>
      <w:pPr>
        <w:pStyle w:val="Heading2"/>
      </w:pPr>
      <w:r>
        <w:t>Saint-Elian-Wund-Score prognostiziert Majoramputationen im diabetischen Fußsyndrom</w:t>
      </w:r>
    </w:p>
    <w:p>
      <w:r>
        <w:rPr>
          <w:i/>
          <w:color w:val="666666"/>
          <w:sz w:val="18"/>
        </w:rPr>
        <w:t>Carro G et al.  ·  Diabet Med  ·  19.10.2026  ·  PMID 42896096</w:t>
      </w:r>
    </w:p>
    <w:p>
      <w:r>
        <w:t>Retrospektive Kohorte von 406 Patienten mit diabetischem Fußsyndrom in Argentinien 2025; Competing-Risks-Modell prüfte Vorhersagekraft des Saint-Elian-Scores für Majoramputation, unter Berücksichtigung von Wundheilung und Tod als konkurrierende Ereignisse.</w:t>
      </w:r>
    </w:p>
    <w:p>
      <w:r>
        <w:rPr>
          <w:b/>
        </w:rPr>
        <w:t xml:space="preserve">Ergebnis: </w:t>
      </w:r>
      <w:r>
        <w:t>Bei jedem Punkt Anstieg im SEWSS erhöhte sich die Subdistribution-Hazard für Majoramputation um 41 % (sHR 1,41, 95%-KI 1,31–1,51, p&lt;0,001), alteradjustiert. Das Modell zeigte gute Diskriminationsfähigkeit über 180 Tage (bootstrap-korrigierte AUC 0,848, Brier-Score 0,097) und adäquate Kalibrierung.</w:t>
      </w:r>
    </w:p>
    <w:p>
      <w:r>
        <w:rPr>
          <w:b/>
          <w:sz w:val="19"/>
        </w:rPr>
        <w:t xml:space="preserve">Übertragbarkeit: </w:t>
      </w:r>
      <w:r>
        <w:rPr>
          <w:sz w:val="19"/>
        </w:rPr>
        <w:t>Lateinamerikanisches Register; externe Validierung erforderlich; Methodik übertragbar auf deutsche Kohorten.</w:t>
      </w:r>
    </w:p>
    <w:p>
      <w:r>
        <w:rPr>
          <w:color w:val="5A7D3A"/>
          <w:sz w:val="18"/>
        </w:rPr>
        <w:t>https://pubmed.ncbi.nlm.nih.gov/42896096/</w:t>
      </w:r>
    </w:p>
    <w:p>
      <w:pPr>
        <w:pStyle w:val="Heading2"/>
      </w:pPr>
      <w:r>
        <w:t>SGLT2-Inhibitoren günstiger und sicherer als DPP-4-Inhibitoren in Taiwans Versorgung</w:t>
      </w:r>
    </w:p>
    <w:p>
      <w:r>
        <w:rPr>
          <w:i/>
          <w:color w:val="666666"/>
          <w:sz w:val="18"/>
        </w:rPr>
        <w:t>Yen CL et al.  ·  Diabet Med  ·  19.10.2026  ·  PMID 42896077</w:t>
      </w:r>
    </w:p>
    <w:p>
      <w:r>
        <w:t>Target-Trial-Emulation mit Taiwans Nationaler Krankenversicherungsdatenbank; 224.510 Patienten mit neuem SGLT2i versus 698.012 mit neuem DPP4i verglichen, Sicherheitsergebnisse über durchschnittlich 2 Jahre.</w:t>
      </w:r>
    </w:p>
    <w:p>
      <w:r>
        <w:rPr>
          <w:b/>
        </w:rPr>
        <w:t xml:space="preserve">Ergebnis: </w:t>
      </w:r>
      <w:r>
        <w:t>SGLT2i zeigten niedrigere Inzidenzen von Harnwegsinfekt (23,84 vs. 27,88 pro 1000 Personenjahre, HR 0,86, 95%-KI 0,84–0,87), Frakturen/Stürze (16,55 vs. 17,79, HR 0,93, 95%-KI 0,91–0,95), akutem Nierenschaden (1,06 vs. 1,91, HR 0,55, 95%-KI 0,51–0,59) und Gesamtsterblichkeit (13,05 vs. 19,72, HR 0,66, 95%-KI 0,65–0,67); Genitalmykosen erhöht (HR 1,44).</w:t>
      </w:r>
    </w:p>
    <w:p>
      <w:r>
        <w:rPr>
          <w:b/>
          <w:sz w:val="19"/>
        </w:rPr>
        <w:t xml:space="preserve">Übertragbarkeit: </w:t>
      </w:r>
      <w:r>
        <w:rPr>
          <w:sz w:val="19"/>
        </w:rPr>
        <w:t>Asiatisches Versicherungssystem, vergleichbare administrative Daten; Sicherheitsprofil-Befunde übertragbar auf deutsche Nutzenabwägung.</w:t>
      </w:r>
    </w:p>
    <w:p>
      <w:r>
        <w:rPr>
          <w:color w:val="5A7D3A"/>
          <w:sz w:val="18"/>
        </w:rPr>
        <w:t>https://pubmed.ncbi.nlm.nih.gov/42896077/</w:t>
      </w:r>
    </w:p>
    <w:p>
      <w:pPr>
        <w:pStyle w:val="Heading2"/>
      </w:pPr>
      <w:r>
        <w:t>Früherkennung Typ-1-Diabetes im Kindesalter: Fachkräfte sehen Chancen und Hürden</w:t>
      </w:r>
    </w:p>
    <w:p>
      <w:r>
        <w:rPr>
          <w:i/>
          <w:color w:val="666666"/>
          <w:sz w:val="18"/>
        </w:rPr>
        <w:t>Gatti F et al.  ·  Diabetes Metab Res Rev  ·  Okt. 2026  ·  PMID 42895779</w:t>
      </w:r>
    </w:p>
    <w:p>
      <w:r>
        <w:t>Systematische Übersichtsarbeit zur Sicht von Fachkräften (Ärzte, Pflegende, Psychologen) auf Früherkennung und Screening bei Kindern mit erhöhtem Typ-1-Diabetes-Risiko, mit Analyse von 12 Studien.</w:t>
      </w:r>
    </w:p>
    <w:p>
      <w:r>
        <w:rPr>
          <w:b/>
        </w:rPr>
        <w:t xml:space="preserve">Ergebnis: </w:t>
      </w:r>
      <w:r>
        <w:t>Fachkräfte befürworten Screening bei Hochrisiko-Gruppen mehr als bei der Allgemeinbevölkerung. Nutzen: Prävention diabetischer Ketoazidose, frühere klinische Einbindung, bessere Familienvorbereitung. Bedenken: psychosoziale Belastung, begrenzte Fachkapazität, unklare Überweisungs- und Verlaufspfade. Strukturierte Programme zeigten Zustimmung, möglicherweise durch Selektionsbias.</w:t>
      </w:r>
    </w:p>
    <w:p>
      <w:r>
        <w:rPr>
          <w:b/>
          <w:sz w:val="19"/>
        </w:rPr>
        <w:t xml:space="preserve">Übertragbarkeit: </w:t>
      </w:r>
      <w:r>
        <w:rPr>
          <w:sz w:val="19"/>
        </w:rPr>
        <w:t>Europäische und internationale Perspective; Transfer auf Deutschland hängt von Programmaufbau in DMP-Struktur ab.</w:t>
      </w:r>
    </w:p>
    <w:p>
      <w:r>
        <w:rPr>
          <w:color w:val="5A7D3A"/>
          <w:sz w:val="18"/>
        </w:rPr>
        <w:t>https://pubmed.ncbi.nlm.nih.gov/42895779/</w:t>
      </w:r>
    </w:p>
    <w:p>
      <w:pPr>
        <w:pStyle w:val="Heading2"/>
      </w:pPr>
      <w:r>
        <w:t>Mandel-kohlenhydratarme Diät verbessert nächtliche Glukosekontrolle bei Typ-2-Diabetes</w:t>
      </w:r>
    </w:p>
    <w:p>
      <w:r>
        <w:rPr>
          <w:i/>
          <w:color w:val="666666"/>
          <w:sz w:val="18"/>
        </w:rPr>
        <w:t>Li X et al.  ·  Nutr Diabetes  ·  22.07.2026  ·  PMID 42894020</w:t>
      </w:r>
    </w:p>
    <w:p>
      <w:r>
        <w:t>Randomisierte Studie mit 33 hospitalisierten Patienten mit Typ-2-Diabetes, die CGM trugen; Vergleich einer mandel-angereicherten kohlenhydratarmen Diät (LCD) versus fettarmer Diät (LFD) über definierte Zeiträume.</w:t>
      </w:r>
    </w:p>
    <w:p>
      <w:r>
        <w:rPr>
          <w:b/>
        </w:rPr>
        <w:t xml:space="preserve">Ergebnis: </w:t>
      </w:r>
      <w:r>
        <w:t>LCD-Gruppe zeigte nächtlich höhere Time in Range (TIR) (98,51 % vs. 91,67 %, p&lt;0,01), höhere Time in Tight Range (TITR) (94,14 % vs. 77,58 %, p&lt;0,05), niedrigere Time Above Range (0,00 % vs. 1,39 %, p&lt;0,01) und niedrigere Standardabweichung (15,57 vs. 23,62 mg/dL, p&lt;0,05). Multivariable Regression zeigte unabhängige Assoziation der LCD mit +6,65 % TIR und +14,60 % TITR.</w:t>
      </w:r>
    </w:p>
    <w:p>
      <w:r>
        <w:rPr>
          <w:b/>
          <w:sz w:val="19"/>
        </w:rPr>
        <w:t xml:space="preserve">Übertragbarkeit: </w:t>
      </w:r>
      <w:r>
        <w:rPr>
          <w:sz w:val="19"/>
        </w:rPr>
        <w:t>Chinesische Klinik mit standardisierter Ernährungsintervention; Übertragbar auf deutsche Diabetesberatung im stationären Setting.</w:t>
      </w:r>
    </w:p>
    <w:p>
      <w:r>
        <w:rPr>
          <w:color w:val="5A7D3A"/>
          <w:sz w:val="18"/>
        </w:rPr>
        <w:t>https://pubmed.ncbi.nlm.nih.gov/42894020/</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