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Studienarchiv - Diabetes</w:t>
      </w:r>
    </w:p>
    <w:p>
      <w:r>
        <w:rPr>
          <w:i/>
          <w:color w:val="666666"/>
          <w:sz w:val="18"/>
        </w:rPr>
        <w:t>Stand: 14.09.2026  |  30 Studien  |  diabetes.m-vf.de</w:t>
      </w:r>
    </w:p>
    <w:p>
      <w:pPr>
        <w:pStyle w:val="Heading1"/>
      </w:pPr>
      <w:r>
        <w:t>Aufgenommen am 14.09.2026</w:t>
      </w:r>
    </w:p>
    <w:p>
      <w:pPr>
        <w:pStyle w:val="Heading2"/>
      </w:pPr>
      <w:r>
        <w:t>Operationalisierung von Typ-2-Diabetes ändert Phänotyp und Outcome-Assoziation</w:t>
      </w:r>
    </w:p>
    <w:p>
      <w:r>
        <w:rPr>
          <w:i/>
          <w:color w:val="666666"/>
          <w:sz w:val="18"/>
        </w:rPr>
        <w:t>Zhou Y et al.  ·  Diabetes Res Clin Pract  ·  13.09.2026  ·  PMID 42732789</w:t>
      </w:r>
    </w:p>
    <w:p>
      <w:r>
        <w:t>UK-Biobank-Studie mit 501.936 Teilnehmern: Vergleich von fünf alternativen Definitions-Familien für Typ-2-Diabetes und deren Effekt auf Fallzusammensetzung und Mortalitäts-/Morbilitäts-Assoziationen.</w:t>
      </w:r>
    </w:p>
    <w:p>
      <w:r>
        <w:rPr>
          <w:b/>
        </w:rPr>
        <w:t xml:space="preserve">Ergebnis: </w:t>
      </w:r>
      <w:r>
        <w:t>Fallzahlen variierten je Definition (13.873-22.394); Hazard Ratios für MI 3,82 (3,61-4,04) und Demenz 3,79 (3,52-4,09) bei eng definierten Fällen; Einschluss von nicht diagnostiziertem Diabetes reduzierte HRs um 1,2-13,8 %, besonders für Demenz.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UK-System, ähnlich deutsche Routinedokumentation in KVs/Kliniken</w:t>
      </w:r>
    </w:p>
    <w:p>
      <w:r>
        <w:rPr>
          <w:color w:val="5A7D3A"/>
          <w:sz w:val="18"/>
        </w:rPr>
        <w:t>https://pubmed.ncbi.nlm.nih.gov/42732789/</w:t>
      </w:r>
    </w:p>
    <w:p>
      <w:pPr>
        <w:pStyle w:val="Heading2"/>
      </w:pPr>
      <w:r>
        <w:t>Metabolische Faktoren und pulmonale Veränderungen bei Diabetes</w:t>
      </w:r>
    </w:p>
    <w:p>
      <w:r>
        <w:rPr>
          <w:i/>
          <w:color w:val="666666"/>
          <w:sz w:val="18"/>
        </w:rPr>
        <w:t>Li Z et al.  ·  Diabetes Care  ·  01.09.2026  ·  PMID 42623539</w:t>
      </w:r>
    </w:p>
    <w:p>
      <w:r>
        <w:t>Stellungnahme zu Faktoren, die die Verbindung zwischen Diabetes und Lungenfunktionsstörungen modulieren.</w:t>
      </w:r>
    </w:p>
    <w:p>
      <w:r>
        <w:rPr>
          <w:b/>
        </w:rPr>
        <w:t xml:space="preserve">Ergebnis: </w:t>
      </w:r>
      <w:r>
        <w:t>Post-hoc-Analyse zeigt metabolische Marker als unabhängige Prädiktoren pulmonaler Alteration; spezifische Hazard Ratios im Originalmanuskript nicht im Abstract.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Deutschland-Vergleichbarkeit abhängig von Datenquelle, siehe Originalarbeit</w:t>
      </w:r>
    </w:p>
    <w:p>
      <w:r>
        <w:rPr>
          <w:color w:val="5A7D3A"/>
          <w:sz w:val="18"/>
        </w:rPr>
        <w:t>https://pubmed.ncbi.nlm.nih.gov/42623539/</w:t>
      </w:r>
    </w:p>
    <w:p>
      <w:pPr>
        <w:pStyle w:val="Heading2"/>
      </w:pPr>
      <w:r>
        <w:t>DDG-Positionspapier zum Typ-1-Diabetes-Screening</w:t>
      </w:r>
    </w:p>
    <w:p>
      <w:r>
        <w:rPr>
          <w:i/>
          <w:color w:val="666666"/>
          <w:sz w:val="18"/>
        </w:rPr>
        <w:t>Blankenstein O et al.  ·  Exp Clin Endocrinol Diabetes  ·  19.08.2026  ·  PMID 42618003</w:t>
      </w:r>
    </w:p>
    <w:p>
      <w:r>
        <w:t>Stellungnahme der Deutschen Diabetes-Gesellschaft zu Empfehlungen, wer auf Typ-1-Diabetes gescreent werden sollte und wie.</w:t>
      </w:r>
    </w:p>
    <w:p>
      <w:r>
        <w:rPr>
          <w:b/>
        </w:rPr>
        <w:t xml:space="preserve">Ergebnis: </w:t>
      </w:r>
      <w:r>
        <w:t>Empfehlungen basieren auf Expertenkonsens; keine quantitativen Ergebnisse, aber richtungsweisend für die DDG-Standard.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Direkter Fokus auf deutsches Versorgungssystem, DDG-Mitglieder</w:t>
      </w:r>
    </w:p>
    <w:p>
      <w:r>
        <w:rPr>
          <w:color w:val="5A7D3A"/>
          <w:sz w:val="18"/>
        </w:rPr>
        <w:t>https://pubmed.ncbi.nlm.nih.gov/42618003/</w:t>
      </w:r>
    </w:p>
    <w:p>
      <w:pPr>
        <w:pStyle w:val="Heading2"/>
      </w:pPr>
      <w:r>
        <w:t>Semaglutid in Typ-1-Diabetes: Klinisches Stellungnahme-Duo</w:t>
      </w:r>
    </w:p>
    <w:p>
      <w:r>
        <w:rPr>
          <w:i/>
          <w:color w:val="666666"/>
          <w:sz w:val="18"/>
        </w:rPr>
        <w:t>Nauck MA et al.  ·  Lancet Diabetes Endocrinol  ·  17.08.2026  ·  PMID 42607699</w:t>
      </w:r>
    </w:p>
    <w:p>
      <w:r>
        <w:t>Kommentar von Diabetologen zu Sicherheit und Verträglichkeit von Orforglipron, einem GLP-1-Rezeptoragonisten, bei japanischen Patienten mit Typ-2-Diabetes (aus klinischer Studie).</w:t>
      </w:r>
    </w:p>
    <w:p>
      <w:r>
        <w:rPr>
          <w:b/>
        </w:rPr>
        <w:t xml:space="preserve">Ergebnis: </w:t>
      </w:r>
      <w:r>
        <w:t>Keine Outcome-Zahlen im Abstract; redaktionelle Würdigung, keine primären Daten.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Nicht als Originalarbeit, sondern als Fachmeinung</w:t>
      </w:r>
    </w:p>
    <w:p>
      <w:r>
        <w:rPr>
          <w:color w:val="5A7D3A"/>
          <w:sz w:val="18"/>
        </w:rPr>
        <w:t>https://pubmed.ncbi.nlm.nih.gov/42607699/</w:t>
      </w:r>
    </w:p>
    <w:p>
      <w:pPr>
        <w:pStyle w:val="Heading2"/>
      </w:pPr>
      <w:r>
        <w:t>Helicobacter pylori und Insulinresistenz: Assoziation oder Confounder?</w:t>
      </w:r>
    </w:p>
    <w:p>
      <w:r>
        <w:rPr>
          <w:i/>
          <w:color w:val="666666"/>
          <w:sz w:val="18"/>
        </w:rPr>
        <w:t>Singhartinger F et al.  ·  J Clin Endocrinol Metab  ·  17.08.2026  ·  PMID 42605187</w:t>
      </w:r>
    </w:p>
    <w:p>
      <w:r>
        <w:t>Österreichische Cross-sectional-Studie mit 4.681 asymptomatischen Erwachsenen: Helicobacter-pylori-Status per Magenbiopsi vs. Insulinresistenz (HOMA-IR &gt; 2,5), mit rigoroser Confounder-Anpassung und Bayesian-Analyse.</w:t>
      </w:r>
    </w:p>
    <w:p>
      <w:r>
        <w:rPr>
          <w:b/>
        </w:rPr>
        <w:t xml:space="preserve">Ergebnis: </w:t>
      </w:r>
      <w:r>
        <w:t>Rohprävalenz der Insulinresistenz höher bei H. pylori+ (31 % vs. 27 %; p=0,015); nach vollständiger Anpassung verschwand die Assoziation (IRR 1,12, 95% KI 0,95-1,31; p=0,176); Bayesian-Analyse: 87,9 % Wahrscheinlichkeit praktischer Äquivalenz – H. pylori ist ein Marker sozioökonomischer Faktoren, nicht kausal.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Österreich, mitteleuropäisches Versorgungssystem, vergleichbar mit Deutschland</w:t>
      </w:r>
    </w:p>
    <w:p>
      <w:r>
        <w:rPr>
          <w:color w:val="5A7D3A"/>
          <w:sz w:val="18"/>
        </w:rPr>
        <w:t>https://pubmed.ncbi.nlm.nih.gov/42605187/</w:t>
      </w:r>
    </w:p>
    <w:p>
      <w:pPr>
        <w:pStyle w:val="Heading2"/>
      </w:pPr>
      <w:r>
        <w:t>Genetische Heterogenität: Monogenes Diabetes in Italien deutet auf Land-spezifische Phänotypen</w:t>
      </w:r>
    </w:p>
    <w:p>
      <w:r>
        <w:rPr>
          <w:i/>
          <w:color w:val="666666"/>
          <w:sz w:val="18"/>
        </w:rPr>
        <w:t>Di Paola R et al.  ·  Diabetes Res Clin Pract  ·  14.08.2026  ·  PMID 42600891</w:t>
      </w:r>
    </w:p>
    <w:p>
      <w:r>
        <w:t>Kohortenstudie mit 521 italienischen Patienten mit Verdacht auf monogenes Diabetes: Vergleich der Prävalenz und Charakterisierung pathogener Varianten mit anderen europäischen Ländern.</w:t>
      </w:r>
    </w:p>
    <w:p>
      <w:r>
        <w:rPr>
          <w:b/>
        </w:rPr>
        <w:t xml:space="preserve">Ergebnis: </w:t>
      </w:r>
      <w:r>
        <w:t>Pathogene/wahrscheinlich pathogene Varianten in 127/521 (24,4 %); GCK-Diabetes war mit 54 % der Fall am häufigsten (Unterschied zu UK/Frankreich, wo HNF-Varianten dominieren); MODY-Prädiktor-Kalkulator zeigte schlechtere Diskrimination als im UK entwickelt.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Italienische Patientendaten, europäisch vergleichbar, benötigt aber länderspezifische Algorithmen</w:t>
      </w:r>
    </w:p>
    <w:p>
      <w:r>
        <w:rPr>
          <w:color w:val="5A7D3A"/>
          <w:sz w:val="18"/>
        </w:rPr>
        <w:t>https://pubmed.ncbi.nlm.nih.gov/42600891/</w:t>
      </w:r>
    </w:p>
    <w:p>
      <w:pPr>
        <w:pStyle w:val="Heading1"/>
      </w:pPr>
      <w:r>
        <w:t>Aufgenommen am 13.09.2026</w:t>
      </w:r>
    </w:p>
    <w:p>
      <w:pPr>
        <w:pStyle w:val="Heading2"/>
      </w:pPr>
      <w:r>
        <w:t>Epigenetische Modulation der Ernährungs-Diabetes-Assoziation: DNA-Methylierung stärker als Genetik</w:t>
      </w:r>
    </w:p>
    <w:p>
      <w:r>
        <w:rPr>
          <w:i/>
          <w:color w:val="666666"/>
          <w:sz w:val="18"/>
        </w:rPr>
        <w:t>El-Khoury C et al.  ·  Cardiovasc Diabetol  ·  11.09.2026  ·  PMID 42728572</w:t>
      </w:r>
    </w:p>
    <w:p>
      <w:r>
        <w:t>EPIC-Potsdam-Studie (750 T2D-Fälle) mit 2204 Teilnehmern untersuchte, ob genetische oder epigenetische Faktoren die schützende Wirkung gesunder Ernährung (AHEI-2010, DASH) auf Typ-2-Diabetes modifizieren.</w:t>
      </w:r>
    </w:p>
    <w:p>
      <w:r>
        <w:rPr>
          <w:b/>
        </w:rPr>
        <w:t xml:space="preserve">Ergebnis: </w:t>
      </w:r>
      <w:r>
        <w:t>Höhere Ernährungsqualität schützte vor T2D. Die DNA-Methylierungs-Risk-Score (MRS) modifizierte die Assoziation signifikant für AHEI-2010 (p=0,008) und mediterranes Muster (p&lt;0,0001); dieser Effekt blieb in Sensitivitätsanalysen robust. Ein polygener genetischer Score zeigte keine vergleichbare Interaktion mit Ernährung – die epigenetische Anfälligkeit ist für Prävention relevanter.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prospektive Kohortendaten, strukturiertes DMP-Setting übertragbar</w:t>
      </w:r>
    </w:p>
    <w:p>
      <w:r>
        <w:rPr>
          <w:color w:val="5A7D3A"/>
          <w:sz w:val="18"/>
        </w:rPr>
        <w:t>https://pubmed.ncbi.nlm.nih.gov/42728572/</w:t>
      </w:r>
    </w:p>
    <w:p>
      <w:pPr>
        <w:pStyle w:val="Heading2"/>
      </w:pPr>
      <w:r>
        <w:t>GLP-1-RA bei Typ-1-Diabetes: modest HbA1c-Senkung, aber Übelkeit und Gewichtsverlust</w:t>
      </w:r>
    </w:p>
    <w:p>
      <w:r>
        <w:rPr>
          <w:i/>
          <w:color w:val="666666"/>
          <w:sz w:val="18"/>
        </w:rPr>
        <w:t>Lee O et al.  ·  Diabetes Obes Metab  ·  10.09.2026  ·  PMID 42723273</w:t>
      </w:r>
    </w:p>
    <w:p>
      <w:r>
        <w:t>Overlap-informierte Umbrella-Review (18 Systematische Reviews mit 56 RCTs, insgesamt 35 randomisiert, 21 nicht randomisiert) zu adjuvanten GLP-1-RA neben Insulin bei T1D.</w:t>
      </w:r>
    </w:p>
    <w:p>
      <w:r>
        <w:rPr>
          <w:b/>
        </w:rPr>
        <w:t xml:space="preserve">Ergebnis: </w:t>
      </w:r>
      <w:r>
        <w:t>HbA1c-Reduktion: -0,23 % (95%-KI -0,30 bis -0,17, moderate Sicherheit); Gewichtsabnahme: -3,93 kg (-4,29 bis -3,56, moderat); tägliche Insulindosis: -5,74 IE/Tag (-7,30 bis -4,17, niedrig). Time in Range verbesserte sich nicht (MD +1,99 %, 95%-KI -1,17 bis 5,15, sehr niedrig). Schwere Hypoglykämie: RR 0,83 (0,36–1,91, niedrig). DKA: RR 0,67 (0,16–2,86, niedrig). Übelkeit RR 2,88 (2,20–3,76, hoch), Erbrechen RR 3,11 (1,94–4,97, hoch), Abbruch wegen Nebenwirkungen RR 2,10 (1,42–3,12, hoch).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Globale RCT-Evidenz, T1D-spezifisch, in Deutschland nicht im DMP vorgesehen</w:t>
      </w:r>
    </w:p>
    <w:p>
      <w:r>
        <w:rPr>
          <w:color w:val="5A7D3A"/>
          <w:sz w:val="18"/>
        </w:rPr>
        <w:t>https://pubmed.ncbi.nlm.nih.gov/42723273/</w:t>
      </w:r>
    </w:p>
    <w:p>
      <w:pPr>
        <w:pStyle w:val="Heading2"/>
      </w:pPr>
      <w:r>
        <w:t>Fettleber und Pankreasfetteinlagerung gehen mit 7,9-fach erhöhtem Fettleberrisiko einher</w:t>
      </w:r>
    </w:p>
    <w:p>
      <w:r>
        <w:rPr>
          <w:i/>
          <w:color w:val="666666"/>
          <w:sz w:val="18"/>
        </w:rPr>
        <w:t>Du Y et al.  ·  Diabetes Res Clin Pract  ·  10.09.2026  ·  PMID 42722108</w:t>
      </w:r>
    </w:p>
    <w:p>
      <w:r>
        <w:t>Metaanalyse (19 Studien, 6834 Patienten mit Pankreasfettlagerung) zu Prävalenz von Fettleber und Diabetes bei Pankreasfettlagerungsstörung (FPD).</w:t>
      </w:r>
    </w:p>
    <w:p>
      <w:r>
        <w:rPr>
          <w:b/>
        </w:rPr>
        <w:t xml:space="preserve">Ergebnis: </w:t>
      </w:r>
      <w:r>
        <w:t>Pooled Fettleber-Prävalenz: 59,0 % (95%-KI 51,1–66,6); Diabetes-Prävalenz: 20,6 % (95%-KI 15,0–26,8). MRI/MRS-Studien berichten höhere Raten (76,5 % Fettleber, 27,7 % Diabetes). FPD assoziiert mit signifikant höheren Odds für Fettleber (OR 7,87, 95%-KI 5,09–12,17) und Diabetes (OR 3,19, 95%-KI 2,11–4,82). Gewichtsverlust bleibt zentrale Strategie.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Globale Daten, China-dominiert, Screening-Algorithmen Deutschland-angepasst machbar</w:t>
      </w:r>
    </w:p>
    <w:p>
      <w:r>
        <w:rPr>
          <w:color w:val="5A7D3A"/>
          <w:sz w:val="18"/>
        </w:rPr>
        <w:t>https://pubmed.ncbi.nlm.nih.gov/42722108/</w:t>
      </w:r>
    </w:p>
    <w:p>
      <w:pPr>
        <w:pStyle w:val="Heading2"/>
      </w:pPr>
      <w:r>
        <w:t>Präoperative stationäre Glukosekontrolle senkt Wundinfektion bei Diabetes um 38 %</w:t>
      </w:r>
    </w:p>
    <w:p>
      <w:r>
        <w:rPr>
          <w:i/>
          <w:color w:val="666666"/>
          <w:sz w:val="18"/>
        </w:rPr>
        <w:t>Horikiri Y et al.  ·  J Diabetes Investig  ·  10.09.2026  ·  PMID 42720397</w:t>
      </w:r>
    </w:p>
    <w:p>
      <w:r>
        <w:t>Japanische retrospektive Studie (n=1086, vier Zentren) mit diabetologischem Management: 349 präoperativ stationär optimiert, 702 ambulant, 35 nur postoperativ betreut – Follow-up der chirurgischen Infekte.</w:t>
      </w:r>
    </w:p>
    <w:p>
      <w:r>
        <w:rPr>
          <w:b/>
        </w:rPr>
        <w:t xml:space="preserve">Ergebnis: </w:t>
      </w:r>
      <w:r>
        <w:t>Infektionsrate (SSI): 7,2 % (stationär) vs. 11,1 % (ambulant) vs. 20,0 % (nur postoperativ); p=0,020. Adjustiertes OR für stationäre Optimierung: 0,62 (95%-KI 0,39–0,99, p=0,044). Postoperativer Tag-1-Nüchternblutzucker zeigte stärkere Assoziation mit SSI als präoperativer Wert, aber Blutglukose am OP-Tag blieb klinisch informativ.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Japan, Klinik-Daten, deutsches Klinik-Setting bedingt übertragbar</w:t>
      </w:r>
    </w:p>
    <w:p>
      <w:r>
        <w:rPr>
          <w:color w:val="5A7D3A"/>
          <w:sz w:val="18"/>
        </w:rPr>
        <w:t>https://pubmed.ncbi.nlm.nih.gov/42720397/</w:t>
      </w:r>
    </w:p>
    <w:p>
      <w:pPr>
        <w:pStyle w:val="Heading2"/>
      </w:pPr>
      <w:r>
        <w:t>CFTR-Modulatoren verbessern Glukosekontrolle bei zystischer Fibrose ohne Hyporisiko</w:t>
      </w:r>
    </w:p>
    <w:p>
      <w:r>
        <w:rPr>
          <w:i/>
          <w:color w:val="666666"/>
          <w:sz w:val="18"/>
        </w:rPr>
        <w:t>Galderisi A et al.  ·  J Clin Endocrinol Metab  ·  31.08.2026  ·  PMID 42671070</w:t>
      </w:r>
    </w:p>
    <w:p>
      <w:r>
        <w:t>Französische MODUL-CF-Studie mit 98 CF-Patienten (Alter 2–18 Jahre) untersuchte kontinuierliche Glukosemessungen vor und 12 Monate nach Start von Elexacaftor/Tezacaftor/Ivacaftor (ETI).</w:t>
      </w:r>
    </w:p>
    <w:p>
      <w:r>
        <w:rPr>
          <w:b/>
        </w:rPr>
        <w:t xml:space="preserve">Ergebnis: </w:t>
      </w:r>
      <w:r>
        <w:t>Time in Tight Range (TITR 70–180 mg/dL) stieg von 89,8 % auf 91,6 % (p=0,004); Hyperglykämie &gt;140 mg/dL sank um 0,4 %. Variabilität sank (CV 21,5 % → 19,6 %, p&lt;0,001). Keine DKA oder schwere Hypoglykämie. Gewichtszunahme und Lungenfunktion besser bei Baseline-Hyperglykämie ≤10 %.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spezialisierte Kinderkliniken, seltenes Spezial-Setting</w:t>
      </w:r>
    </w:p>
    <w:p>
      <w:r>
        <w:rPr>
          <w:color w:val="5A7D3A"/>
          <w:sz w:val="18"/>
        </w:rPr>
        <w:t>https://pubmed.ncbi.nlm.nih.gov/42671070/</w:t>
      </w:r>
    </w:p>
    <w:p>
      <w:pPr>
        <w:pStyle w:val="Heading2"/>
      </w:pPr>
      <w:r>
        <w:t>Hypokaliämie und Neu-Diabetes bei Herzinsuffizienz: Mechanismus unklar</w:t>
      </w:r>
    </w:p>
    <w:p>
      <w:r>
        <w:rPr>
          <w:i/>
          <w:color w:val="666666"/>
          <w:sz w:val="18"/>
        </w:rPr>
        <w:t>Ostrominski JW et al.  ·  Diabetes Care  ·  28.08.2026  ·  PMID 42663524</w:t>
      </w:r>
    </w:p>
    <w:p>
      <w:r>
        <w:t>Sekundäranalyse eines randomisierten Studienprogramms (n=4681, USA/Europa/Asien) zu Hypokaliämie und neuem Diabetes bei Herzinsuffizienz mit reduzierter oder erhaltener Ejektionsfraktion – nur Abstract-Kopfzeile verfügbar.</w:t>
      </w:r>
    </w:p>
    <w:p>
      <w:r>
        <w:rPr>
          <w:b/>
        </w:rPr>
        <w:t xml:space="preserve">Ergebnis: </w:t>
      </w:r>
      <w:r>
        <w:t>Konkrete Ergebnisse nicht im Abstract berichtet. Titel signalisiert Assoziation, Daten fehlen.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Daten, USA-dominiert, Mechanismus unklar</w:t>
      </w:r>
    </w:p>
    <w:p>
      <w:r>
        <w:rPr>
          <w:color w:val="5A7D3A"/>
          <w:sz w:val="18"/>
        </w:rPr>
        <w:t>https://pubmed.ncbi.nlm.nih.gov/42663524/</w:t>
      </w:r>
    </w:p>
    <w:p>
      <w:pPr>
        <w:pStyle w:val="Heading1"/>
      </w:pPr>
      <w:r>
        <w:t>Aufgenommen am 12.09.2026</w:t>
      </w:r>
    </w:p>
    <w:p>
      <w:pPr>
        <w:pStyle w:val="Heading2"/>
      </w:pPr>
      <w:r>
        <w:t>CVD-Risikogleichungen für Diabetes: Alterskoeffizient unterscheidet Hocheinkommens- von Ländern mit niedrigerem Einkommen</w:t>
      </w:r>
    </w:p>
    <w:p>
      <w:r>
        <w:rPr>
          <w:i/>
          <w:color w:val="666666"/>
          <w:sz w:val="18"/>
        </w:rPr>
        <w:t>Liang J et al.  ·  BMJ  ·  11.09.2026  ·  PMID 42727977</w:t>
      </w:r>
    </w:p>
    <w:p>
      <w:r>
        <w:t>Kohortenstudie mit Datensätzen aus Neuseeland und China (2004–2018); Vergleich der Generalisierbarkeit von Kardiovaskulär-Risikoprädiktoren in Hocheinkommens- versus Nicht-Hocheinkommensländern bei 47.958 Neuseeländern und 46.558 Chinesen mit Diabetes und ohne CVD in der Vorgeschichte.</w:t>
      </w:r>
    </w:p>
    <w:p>
      <w:r>
        <w:rPr>
          <w:b/>
        </w:rPr>
        <w:t xml:space="preserve">Ergebnis: </w:t>
      </w:r>
      <w:r>
        <w:t>Neuseeland: 5.622 CVD-Ereignisse (11,7%), China: 3.650 (7,8%). Hazard Ratio für Alter pro 10 Jahre: Frauen Neuseeland 1,61 (95% CI 1,51–1,71), China 2,51 (2,32–2,72). Standard-Rekalibrierung verbesserte Kalibrierung in China nicht (E/O-Ratio: 0,938–0,809), Austausch von Alterskoeffizienten jedoch ja (1,027–1,025).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Länderübergreifende Methodik, zeigt Limitationen für Deutschland bei Verwendung internationaler Gleichungen.</w:t>
      </w:r>
    </w:p>
    <w:p>
      <w:r>
        <w:rPr>
          <w:color w:val="5A7D3A"/>
          <w:sz w:val="18"/>
        </w:rPr>
        <w:t>https://pubmed.ncbi.nlm.nih.gov/42727977/</w:t>
      </w:r>
    </w:p>
    <w:p>
      <w:pPr>
        <w:pStyle w:val="Heading2"/>
      </w:pPr>
      <w:r>
        <w:t>Nichtmedikamentöse Interventionen verbessern HbA1c um 0,43%-Punkte und Blutdruck messbar</w:t>
      </w:r>
    </w:p>
    <w:p>
      <w:r>
        <w:rPr>
          <w:i/>
          <w:color w:val="666666"/>
          <w:sz w:val="18"/>
        </w:rPr>
        <w:t>My TT et al.  ·  Diabetes Res Clin Pract  ·  11.09.2026  ·  PMID 42727859</w:t>
      </w:r>
    </w:p>
    <w:p>
      <w:r>
        <w:t>Systematische Übersicht und Metaanalyse von 42 RCTs mit 9.586 Teilnehmern zu Effektivität nichtmedikamentöser Interventionen (psychoedukativ, verhaltenstherapeutisch, Geräte, Telemed) auf Stoffwechselkontrolle bei Typ-2-Diabetes (Primärendpunkt: mindestens 3 Komponenten des metabolischen Syndroms).</w:t>
      </w:r>
    </w:p>
    <w:p>
      <w:r>
        <w:rPr>
          <w:b/>
        </w:rPr>
        <w:t xml:space="preserve">Ergebnis: </w:t>
      </w:r>
      <w:r>
        <w:t>HbA1c MD −0,43 Prozentpunkte (95% CI −0,55 bis −0,32), Nüchternglukose MD −0,57 mmol/L (95% CI −0,83 bis −0,32), Taillenumfang MD −2,25 cm (95% CI −3,32 bis −1,19), systolischer Blutdruck MD −1,66 mmHg (95% CI −2,98 bis −0,34), diastolischer Blutdruck MD −0,93 mmHg (95% CI −1,56 bis −0,30). Triglyceride und HDL nicht signifikant reduziert.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Globale Evidenz, aber mit großer Heterogenität und Vorsicht vor Small-Study-Effekten geboten.</w:t>
      </w:r>
    </w:p>
    <w:p>
      <w:r>
        <w:rPr>
          <w:color w:val="5A7D3A"/>
          <w:sz w:val="18"/>
        </w:rPr>
        <w:t>https://pubmed.ncbi.nlm.nih.gov/42727859/</w:t>
      </w:r>
    </w:p>
    <w:p>
      <w:pPr>
        <w:pStyle w:val="Heading2"/>
      </w:pPr>
      <w:r>
        <w:t>Psychologische und Gerätetherapien reduzieren Diabetes Distress messbar – Metaanalyse von 248 RCTs</w:t>
      </w:r>
    </w:p>
    <w:p>
      <w:r>
        <w:rPr>
          <w:i/>
          <w:color w:val="666666"/>
          <w:sz w:val="18"/>
        </w:rPr>
        <w:t>Schipper SBJ et al.  ·  Diabetologia  ·  11.09.2026  ·  PMID 42726276</w:t>
      </w:r>
    </w:p>
    <w:p>
      <w:r>
        <w:t>Systematische Übersicht und Metaanalyse von 248 randomisierten kontrollierten Studien mit insgesamt 55.497 Teilnehmern zur Wirksamkeit von Interventionen zur Reduktion von Diabetes Distress (emotionale Belastung durch Diabetes-Management) bei Erwachsenen mit Typ-1- oder Typ-2-Diabetes.</w:t>
      </w:r>
    </w:p>
    <w:p>
      <w:r>
        <w:rPr>
          <w:b/>
        </w:rPr>
        <w:t xml:space="preserve">Ergebnis: </w:t>
      </w:r>
      <w:r>
        <w:t>Psychologische Interventionen reduzierten Diabetes Distress bei Typ-1-Diabetes (SMD −0,22, 95% CI −0,35 bis −0,08; 16 Studien, GRADE low) und Typ-2-Diabetes (SMD −0,31, 95% CI −0,50 bis −0,13; 21 Studien, GRADE very low). CGM reduzierte Distress bei Typ-1-Diabetes (SMD −0,26, 95% CI −0,41 bis −0,11; 6 Studien, GRADE moderate). Edukative Interventionen reduzierten Distress bei Typ-2-Diabetes (SMD −0,34, 95% CI −0,56 bis −0,11; 3 Studien, GRADE low). Andere Interventionen zeigten keine signifikanten Effekte.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EASD-Leitlinie mit europäischen Koautoren, psychologische Interventionen praxisrelevant.</w:t>
      </w:r>
    </w:p>
    <w:p>
      <w:r>
        <w:rPr>
          <w:color w:val="5A7D3A"/>
          <w:sz w:val="18"/>
        </w:rPr>
        <w:t>https://pubmed.ncbi.nlm.nih.gov/42726276/</w:t>
      </w:r>
    </w:p>
    <w:p>
      <w:pPr>
        <w:pStyle w:val="Heading2"/>
      </w:pPr>
      <w:r>
        <w:t>Anhaltende Alkoholreduktion verbessert Glukose, Blutdruck und Triglyceride über 15 Jahre</w:t>
      </w:r>
    </w:p>
    <w:p>
      <w:r>
        <w:rPr>
          <w:i/>
          <w:color w:val="666666"/>
          <w:sz w:val="18"/>
        </w:rPr>
        <w:t>Ichikawa T et al.  ·  Diabetes Obes Metab  ·  09.09.2026  ·  PMID 42717548</w:t>
      </w:r>
    </w:p>
    <w:p>
      <w:r>
        <w:t>Target-Trial-Emulation mit Daten aus jährlichen Gesundheitsuntersuchungen japanischer Arbeitnehmer (2008–2023); Vergleich von 30.280 Personen mit Alkoholreduktion (≥20 g/Tag auf &lt;20 g/Tag) gegenüber 229.946 Kontrollpersonen mit ≥20 g/Tag Baseline-Konsum über 15 Jahre Nachbeobachtung.</w:t>
      </w:r>
    </w:p>
    <w:p>
      <w:r>
        <w:rPr>
          <w:b/>
        </w:rPr>
        <w:t xml:space="preserve">Ergebnis: </w:t>
      </w:r>
      <w:r>
        <w:t>Alkoholreduktion assoziiert mit persistiert niedrigerer Nüchternglukose (−1,8 mg/dL bei Jahr 15, p≤0,005), systolischem Blutdruck (−3,4 mmHg, p≤0,005), diastolischem Blutdruck (−2,2 mmHg, p≤0,005) und Triglyceride (−20,4 mg/dL, p≤0,005). HDL-Cholesterin konsistent niedriger, LDL-Cholesterin moderat höher in der Interventionsgruppe.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Japanische betriebliche Gesundheitsdaten; Lebensstiländerung übertragbar auf deutsche Beratungspraxis.</w:t>
      </w:r>
    </w:p>
    <w:p>
      <w:r>
        <w:rPr>
          <w:color w:val="5A7D3A"/>
          <w:sz w:val="18"/>
        </w:rPr>
        <w:t>https://pubmed.ncbi.nlm.nih.gov/42717548/</w:t>
      </w:r>
    </w:p>
    <w:p>
      <w:pPr>
        <w:pStyle w:val="Heading2"/>
      </w:pPr>
      <w:r>
        <w:t>SGLT2-Inhibitoren senken Sterblichkeit, Krankenhauseinweisung und Multimorbidität deutlich</w:t>
      </w:r>
    </w:p>
    <w:p>
      <w:r>
        <w:rPr>
          <w:i/>
          <w:color w:val="666666"/>
          <w:sz w:val="18"/>
        </w:rPr>
        <w:t>Wang J et al.  ·  Eur J Endocrinol  ·  28.08.2026  ·  PMID 42612181</w:t>
      </w:r>
    </w:p>
    <w:p>
      <w:r>
        <w:t>Vergleichende Effektivitätsstudie mit Daten aus englischen Primär- und Sekundärversorgung (2012–2023) an 364.522 Erwachsenen mit Typ-2-Diabetes, die SGLT2-Inhibitoren oder DPP-4-Inhibitoren neu ansetzten; Endpunkte waren Sterblichkeit, Krankenhausaufnahmen und 59 Langzeiterkrankungen.</w:t>
      </w:r>
    </w:p>
    <w:p>
      <w:r>
        <w:rPr>
          <w:b/>
        </w:rPr>
        <w:t xml:space="preserve">Ergebnis: </w:t>
      </w:r>
      <w:r>
        <w:t>SGLT2-Inhibitoren gegenüber DPP-4-Inhibitoren: Gesamtsterblichkeit aHR 0,73 (95% CI 0,71–0,75), erste Krankenhausaufnahme aHR 0,86 (95% CI 0,85–0,87), Anzahl Hospitalisierungen aMD −0,36 (95% CI −0,38 bis −0,34; alle p&lt;0,001). 28 Erkrankungen mit reduziertem Risiko (Demenz, Krebs, Lebererkrankung, diabetisches Fußulkus, Epilepsie, Rheumatoide Arthritis), 4 mit erhöhtem Risiko (Candidose, DKA).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Englisches NHS-System, übertragbar auf deutsche GKV-Strukturen und DMP.</w:t>
      </w:r>
    </w:p>
    <w:p>
      <w:r>
        <w:rPr>
          <w:color w:val="5A7D3A"/>
          <w:sz w:val="18"/>
        </w:rPr>
        <w:t>https://pubmed.ncbi.nlm.nih.gov/42612181/</w:t>
      </w:r>
    </w:p>
    <w:p>
      <w:pPr>
        <w:pStyle w:val="Heading2"/>
      </w:pPr>
      <w:r>
        <w:t>Hohe Blutdruckwerte und Glukosespiegel 10 Jahre vor Demenzdiagnose erhöhen Risiko bei Typ-2-Diabetes</w:t>
      </w:r>
    </w:p>
    <w:p>
      <w:r>
        <w:rPr>
          <w:i/>
          <w:color w:val="666666"/>
          <w:sz w:val="18"/>
        </w:rPr>
        <w:t>Lai HT et al.  ·  BMJ Open Diabetes Res Care  ·  17.08.2026  ·  PMID 42608136</w:t>
      </w:r>
    </w:p>
    <w:p>
      <w:r>
        <w:t>Retrospektive Kohortenstudie mit 249.958 Erwachsenen mit Typ-2-Diabetes aus England (1999–2018); Untersuchung der Assoziation von 8 kardiometabolischen Markern mit Demenzrisiko, stratifiziert nach Messzeitpunkt (5, 5–10, ≥10 Jahre vor Diagnose).</w:t>
      </w:r>
    </w:p>
    <w:p>
      <w:r>
        <w:rPr>
          <w:b/>
        </w:rPr>
        <w:t xml:space="preserve">Ergebnis: </w:t>
      </w:r>
      <w:r>
        <w:t>22.492 Demenzfälle (1.257.998 Personenjahre). Diastolischer Blutdruck (90 vs. 80 mmHg): 21% höheres Demenzrisiko (95% CI 15–27%). BMI ≥30 kg/m² gemessen ≥10 Jahre vor Diagnose: 43% höheres Risiko (31–56%), gemessen &lt;5 Jahre vor Diagnose: 32% niedrigeres Risiko (27–36%). Höhere Glukose konsistent mit erhöhtem Risiko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Englische Primärversorgungsdaten, ähnliche Dokumentationspflichten wie Deutsche KHSystems.</w:t>
      </w:r>
    </w:p>
    <w:p>
      <w:r>
        <w:rPr>
          <w:color w:val="5A7D3A"/>
          <w:sz w:val="18"/>
        </w:rPr>
        <w:t>https://pubmed.ncbi.nlm.nih.gov/42608136/</w:t>
      </w:r>
    </w:p>
    <w:p>
      <w:pPr>
        <w:pStyle w:val="Heading1"/>
      </w:pPr>
      <w:r>
        <w:t>Aufgenommen am 11.09.2026</w:t>
      </w:r>
    </w:p>
    <w:p>
      <w:pPr>
        <w:pStyle w:val="Heading2"/>
      </w:pPr>
      <w:r>
        <w:t>MASLD bei Typ-2-Diabetes: zentrale Adiposität, nicht Alter, bestimmt Steatose</w:t>
      </w:r>
    </w:p>
    <w:p>
      <w:r>
        <w:rPr>
          <w:i/>
          <w:color w:val="666666"/>
          <w:sz w:val="18"/>
        </w:rPr>
        <w:t>Corrao S et al.  ·  Acta Diabetol  ·  10.09.2026  ·  PMID 42720787</w:t>
      </w:r>
    </w:p>
    <w:p>
      <w:r>
        <w:t>Eine italienische Querschnittsstudie mit 219 Typ-2-Diabetes-Patienten untersuchte Prävalenz und Determinanten von metabolisch-assoziierter Steatose und Fibrose mittels Elastografie.</w:t>
      </w:r>
    </w:p>
    <w:p>
      <w:r>
        <w:rPr>
          <w:b/>
        </w:rPr>
        <w:t xml:space="preserve">Ergebnis: </w:t>
      </w:r>
      <w:r>
        <w:t>MASLD-Prävalenz: 75,3 %; schwere Steatose (S3): 11,9 %; Fibrose (F≥2): 7,3 %. Männliches Geschlecht (OR 2,49) und Taillenumfang (OR 1,04 pro cm) waren unabhängig mit MASLD assoziiert. MASLD-Prävalenz stieg über Taillenumfang-Quartile (Trend p=0,001), Fibrosis zeigte keine Assoziation mit Adiposität (p=0,65). HbA1c und Diabetesdauer waren nicht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 – EU-Versorgung; adipositas-fokussiertes Hepatitis-Screening könnte in deutschen DMP integriert werden.</w:t>
      </w:r>
    </w:p>
    <w:p>
      <w:r>
        <w:rPr>
          <w:color w:val="5A7D3A"/>
          <w:sz w:val="18"/>
        </w:rPr>
        <w:t>https://pubmed.ncbi.nlm.nih.gov/42720787/</w:t>
      </w:r>
    </w:p>
    <w:p>
      <w:pPr>
        <w:pStyle w:val="Heading2"/>
      </w:pPr>
      <w:r>
        <w:t>Islet-Autoantikörper-Screening verhindert Ketoazidose bei Typ-1-Diabetes</w:t>
      </w:r>
    </w:p>
    <w:p>
      <w:r>
        <w:rPr>
          <w:i/>
          <w:color w:val="666666"/>
          <w:sz w:val="18"/>
        </w:rPr>
        <w:t>Ziegler AG et al.  ·  Diabetologia  ·  10.09.2026  ·  PMID 42720753</w:t>
      </w:r>
    </w:p>
    <w:p>
      <w:r>
        <w:t>Internationale Konsensusrichtlinien empfehlen ein Screening auf Inselzellantikörper in der Allgemeinbevölkerung, um Typ-1-Diabetes in frühen Stadien zu erkennen, bevor die klinische Diagnose mit schwerem Stoffwechselentgleisung auftritt.</w:t>
      </w:r>
    </w:p>
    <w:p>
      <w:r>
        <w:rPr>
          <w:b/>
        </w:rPr>
        <w:t xml:space="preserve">Ergebnis: </w:t>
      </w:r>
      <w:r>
        <w:t>Zwischen 20 und 67 % der Kinder mit Typ-1-Diabetes präsentieren sich bei klinischer Diagnose mit Ketoazidose (in einem Drittel mit intensivpflichtigen Verläufen). Früherkennung durch Antikörper ermöglicht die Prävention von Ketoazidose und milderere klinische Manifestation mit ausstätiger Insulineinleitung.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Evidenz, in Deutschland noch nicht implementiert – erfordert Screeningstruktur.</w:t>
      </w:r>
    </w:p>
    <w:p>
      <w:r>
        <w:rPr>
          <w:color w:val="5A7D3A"/>
          <w:sz w:val="18"/>
        </w:rPr>
        <w:t>https://pubmed.ncbi.nlm.nih.gov/42720753/</w:t>
      </w:r>
    </w:p>
    <w:p>
      <w:pPr>
        <w:pStyle w:val="Heading2"/>
      </w:pPr>
      <w:r>
        <w:t>Teplizumab konserviert Beta-Zell-Funktion im frühen Typ-1-Diabetes</w:t>
      </w:r>
    </w:p>
    <w:p>
      <w:r>
        <w:rPr>
          <w:i/>
          <w:color w:val="666666"/>
          <w:sz w:val="18"/>
        </w:rPr>
        <w:t>Herold KC et al.  ·  Diabetologia  ·  10.09.2026  ·  PMID 42720752</w:t>
      </w:r>
    </w:p>
    <w:p>
      <w:r>
        <w:t>Eine randomisierte klinische Studie untersuchte, ob die anti-CD3-Monoklonantiköper-Therapie Teplizumab Beta-Zellen vor Zerstörung bewahrt und die Insulinbehandlung reduziert.</w:t>
      </w:r>
    </w:p>
    <w:p>
      <w:r>
        <w:rPr>
          <w:b/>
        </w:rPr>
        <w:t xml:space="preserve">Ergebnis: </w:t>
      </w:r>
      <w:r>
        <w:t>Bei 275 Kindern zeigte Teplizumab signifikant höhere C-Peptid-Werte (0,14 nmol/l Unterschied, p&lt;0,001), Insulindosisreduktion um 0,17 U/kg/Tag und 6,17 % mehr Time in Range gegenüber Placebo bei Woche 78. Die Effekte waren unabhängig vom HLA-Subtyp stabil.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Praxisverändernd – FDA-zugelassene Therapie, aber nicht in Deutschland erstattet; könnte zentrale diabetologische Praxen erreichen.</w:t>
      </w:r>
    </w:p>
    <w:p>
      <w:r>
        <w:rPr>
          <w:color w:val="5A7D3A"/>
          <w:sz w:val="18"/>
        </w:rPr>
        <w:t>https://pubmed.ncbi.nlm.nih.gov/42720752/</w:t>
      </w:r>
    </w:p>
    <w:p>
      <w:pPr>
        <w:pStyle w:val="Heading2"/>
      </w:pPr>
      <w:r>
        <w:t>Thalamische Bioenergien-Störung bei schmerzhaftem diabetischen Polyneuropathie-Syndrom</w:t>
      </w:r>
    </w:p>
    <w:p>
      <w:r>
        <w:rPr>
          <w:i/>
          <w:color w:val="666666"/>
          <w:sz w:val="18"/>
        </w:rPr>
        <w:t>Sloan G et al.  ·  Diabetologia  ·  10.09.2026  ·  PMID 42720751</w:t>
      </w:r>
    </w:p>
    <w:p>
      <w:r>
        <w:t>Eine britische MR-Spektroskopie-Studie verglich Hirnstoffwechsel bei schmerzhaften und schmerzlosen Neuropathien, um Mechanismen der Neuropathie-Schmerzentwicklung zu klären.</w:t>
      </w:r>
    </w:p>
    <w:p>
      <w:r>
        <w:rPr>
          <w:b/>
        </w:rPr>
        <w:t xml:space="preserve">Ergebnis: </w:t>
      </w:r>
      <w:r>
        <w:t>Bei 49 Teilnehmern (38 mit T2DM, davon 18 mit schmerzhafter DPN, 11 schmerzlos) zeigte sich bei schmerzhafter DPN höheres NAA:Cholin-Verhältnis (neuronal Function) und signifikant niedrigeres Pi:ATP-Verhältnis (Bioenergien, p&lt;0,05). Schmerzintensität korrelierte mit thalamischem Pi:ATP. Diese Marker könnten objektive neuropathische Schmerzbiomarker für klinische Studien liefern.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Britische Klinikdaten – Mechanismus-Forschung könnte zu neuen DPN-Wirkstoffen führen; noch nicht patientennah implementierbar.</w:t>
      </w:r>
    </w:p>
    <w:p>
      <w:r>
        <w:rPr>
          <w:color w:val="5A7D3A"/>
          <w:sz w:val="18"/>
        </w:rPr>
        <w:t>https://pubmed.ncbi.nlm.nih.gov/42720751/</w:t>
      </w:r>
    </w:p>
    <w:p>
      <w:pPr>
        <w:pStyle w:val="Heading2"/>
      </w:pPr>
      <w:r>
        <w:t>Diabetes-Risikomodelle bedürfen Kalibrierung für Afrika und Europa</w:t>
      </w:r>
    </w:p>
    <w:p>
      <w:r>
        <w:rPr>
          <w:i/>
          <w:color w:val="666666"/>
          <w:sz w:val="18"/>
        </w:rPr>
        <w:t>Smidt MF et al.  ·  Diabetes Obes Metab  ·  01.09.2026  ·  PMID 42681823</w:t>
      </w:r>
    </w:p>
    <w:p>
      <w:r>
        <w:t>Externe Validierung etablierter Diabetes-Präventionsmodelle (u. a. Finnisches Risiko-Modell) in afrikanischen und europäischen Kohorten zeigte, dass alle Modelle schlecht diskriminieren und Risiken unterschätzen.</w:t>
      </w:r>
    </w:p>
    <w:p>
      <w:r>
        <w:rPr>
          <w:b/>
        </w:rPr>
        <w:t xml:space="preserve">Ergebnis: </w:t>
      </w:r>
      <w:r>
        <w:t>Alle fünf getesteten Modelle zeigten schwache Diskrimination (c-Statistic &lt;0,70) und systematische Risikounterschätzung. Nach lokaler Rekalibrierung wurden Kalibrierungsfehler auf ≤2,3 % (RODAM, VIP) bzw. ≤3,4 % (MASC) reduziert. Dysglykämie-Inzidenz variierte stark: 17,7 % (RODAM), 35,0 % (MASC), 27,5 % (VIP).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Kohorten (Schweden, Niederlande); zeigt Grenze globaler Modelle – lokale Anpassung notwendig.</w:t>
      </w:r>
    </w:p>
    <w:p>
      <w:r>
        <w:rPr>
          <w:color w:val="5A7D3A"/>
          <w:sz w:val="18"/>
        </w:rPr>
        <w:t>https://pubmed.ncbi.nlm.nih.gov/42681823/</w:t>
      </w:r>
    </w:p>
    <w:p>
      <w:pPr>
        <w:pStyle w:val="Heading2"/>
      </w:pPr>
      <w:r>
        <w:t>Mütterliches Alter und BMI erhöhen Gestationsdiabetes-Risiko unabhängig</w:t>
      </w:r>
    </w:p>
    <w:p>
      <w:r>
        <w:rPr>
          <w:i/>
          <w:color w:val="666666"/>
          <w:sz w:val="18"/>
        </w:rPr>
        <w:t>Zanardo V et al.  ·  Diabetes Res Clin Pract  ·  22.08.2026  ·  PMID 42632458</w:t>
      </w:r>
    </w:p>
    <w:p>
      <w:r>
        <w:t>Eine italienische Kohorte mit niedriger Parität und verzögerter Fertilität untersuchte unabhängige und kombinierte Effekte dieser Faktoren auf das Gestationsdiabetes-Risiko.</w:t>
      </w:r>
    </w:p>
    <w:p>
      <w:r>
        <w:rPr>
          <w:b/>
        </w:rPr>
        <w:t xml:space="preserve">Ergebnis: </w:t>
      </w:r>
      <w:r>
        <w:t>Von 2.560 Frauen mit später/niedriger Fertilität entwickelten 231 (9,9 %) Gestationsdiabetes. GDM-Prävalenz stieg mit Alter: 36 Jahre (median) bei GDM vs. 33 Jahre bei Kontrollen (p&lt;0,001) und erreichte 16,1 % nach 40 Jahren. BMI bei Geburt war unabhängig assoziiert (27,9 vs. 26,8 kg/m², p&lt;0,05). Keine Alters-Parität-Interaktion.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Daten (Italien), vergleichbare Sozialversicherung – übertragbar auf Deutsche Schwangerenvorsorge.</w:t>
      </w:r>
    </w:p>
    <w:p>
      <w:r>
        <w:rPr>
          <w:color w:val="5A7D3A"/>
          <w:sz w:val="18"/>
        </w:rPr>
        <w:t>https://pubmed.ncbi.nlm.nih.gov/42632458/</w:t>
      </w:r>
    </w:p>
    <w:p>
      <w:pPr>
        <w:pStyle w:val="Heading1"/>
      </w:pPr>
      <w:r>
        <w:t>Aufgenommen am 10.09.2026</w:t>
      </w:r>
    </w:p>
    <w:p>
      <w:pPr>
        <w:pStyle w:val="Heading2"/>
      </w:pPr>
      <w:r>
        <w:t>Einjährige Progression von Prädiabetes zu Typ-2-Diabetes in türkischer Primärversorgung: 5,9%</w:t>
      </w:r>
    </w:p>
    <w:p>
      <w:r>
        <w:rPr>
          <w:i/>
          <w:color w:val="666666"/>
          <w:sz w:val="18"/>
        </w:rPr>
        <w:t>Tapur AS et al.  ·  Prim Care Diabetes  ·  09.09.2026  ·  PMID 42716862</w:t>
      </w:r>
    </w:p>
    <w:p>
      <w:r>
        <w:t>Prospektive Kohortenstudie in der Türkei zu Prädiabetes-Fortschreitung (n=152, Follow-up 1 Jahr) mit Charakterisierung von Progressoren und Nicht-Progressoren.</w:t>
      </w:r>
    </w:p>
    <w:p>
      <w:r>
        <w:rPr>
          <w:b/>
        </w:rPr>
        <w:t xml:space="preserve">Ergebnis: </w:t>
      </w:r>
      <w:r>
        <w:t>Progressionsrate 5,9% (95%-KI 2,7–10,9%, 9 Fälle). Alle 9 Fälle traten bei kombinierter Nüchtern-Glukose- und Glukosetoleranzstörung auf. Progressoren hatten höher BMI, Taillenumfang, Nüchternglukose, HbA1c und 2-h-Glukose. 2-h-Glukose zeigte stärkste Trennung; alle Befunde aufgrund niedriger Fallzahl unvalidiert und hypothesengenerierend.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Primärversorgung Türkei; Transferierbarkeit limitiert (kleine Fallzahl, keine Validierung)</w:t>
      </w:r>
    </w:p>
    <w:p>
      <w:r>
        <w:rPr>
          <w:color w:val="5A7D3A"/>
          <w:sz w:val="18"/>
        </w:rPr>
        <w:t>https://pubmed.ncbi.nlm.nih.gov/42716862/</w:t>
      </w:r>
    </w:p>
    <w:p>
      <w:pPr>
        <w:pStyle w:val="Heading2"/>
      </w:pPr>
      <w:r>
        <w:t>10-kHz Rückenmarkstimulation lindert Schmerz und bessert Nervenfunktion bei diabetischer Neuropathie</w:t>
      </w:r>
    </w:p>
    <w:p>
      <w:r>
        <w:rPr>
          <w:i/>
          <w:color w:val="666666"/>
          <w:sz w:val="18"/>
        </w:rPr>
        <w:t>Hurley RW et al.  ·  Diabetes Care  ·  09.09.2026  ·  PMID 42713876</w:t>
      </w:r>
    </w:p>
    <w:p>
      <w:r>
        <w:t>Randomisierte Kontrollstudie (PDN-Sensory) zur hochfrequenten Rückenmarkstimulation gegen konventionelle Behandlung bei schmerzhafter diabetischer Neuropathie mit Schmerzlinderung und sensorischen Endpunkten.</w:t>
      </w:r>
    </w:p>
    <w:p>
      <w:r>
        <w:rPr>
          <w:b/>
        </w:rPr>
        <w:t xml:space="preserve">Ergebnis: </w:t>
      </w:r>
      <w:r>
        <w:t>Schmerzlinderung ≥50% erreichten 79% (27/34) der Stimulationsgruppe vs. 4% (2/50) Kontrollen (p&lt;0,001). Sensorische Verbesserung (≥3-Punkte-Reduktion mTCNS) in 55% vs. 25% (p=0,01). Mittlere Zunahme der intraepidermalen Nervenfaserdichte +0,58 Fasern/mm vs. –0,07 in der Kontrollgruppe (p=0,03). Primär- und 8 von 10 sekundären Endpunkten erreicht.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USA/angelsächsisches System; Sicherheits- und Wirksamkeitsdaten geographieunabhängig</w:t>
      </w:r>
    </w:p>
    <w:p>
      <w:r>
        <w:rPr>
          <w:color w:val="5A7D3A"/>
          <w:sz w:val="18"/>
        </w:rPr>
        <w:t>https://pubmed.ncbi.nlm.nih.gov/42713876/</w:t>
      </w:r>
    </w:p>
    <w:p>
      <w:pPr>
        <w:pStyle w:val="Heading2"/>
      </w:pPr>
      <w:r>
        <w:t>Mortalität bei diabetischem Fusssyndrom höher als bei Krebs in drei internationalen Kohorten</w:t>
      </w:r>
    </w:p>
    <w:p>
      <w:r>
        <w:rPr>
          <w:i/>
          <w:color w:val="666666"/>
          <w:sz w:val="18"/>
        </w:rPr>
        <w:t>Zeng Q et al.  ·  Diabetes Metab Res Rev  ·  Sept. 2026  ·  PMID 42708860</w:t>
      </w:r>
    </w:p>
    <w:p>
      <w:r>
        <w:t>Vergleich der Sterblichkeit von Patienten mit diabetischem Fusssyndrom und verschiedenen Krebsarten anhand von Daten aus NHANES, UK Biobank und einer chinesischen Diabetes-Registry.</w:t>
      </w:r>
    </w:p>
    <w:p>
      <w:r>
        <w:rPr>
          <w:b/>
        </w:rPr>
        <w:t xml:space="preserve">Ergebnis: </w:t>
      </w:r>
      <w:r>
        <w:t>Patienten mit diabetischem Fusssyndrom hatten eine um 38 bis 499% höhere Sterblichkeit als Patienten mit Krebs insgesamt (Hazard Ratios 1,35–10,69 je nach Kohort und Krebsart). Die Sterblichkeit des diabetischen Fusssyndroms war ähnlich wie bei Dickdarm-, Lymph- und Nierenkarzinom und niedriger nur als bei Lungen-, Pankreas- und Leberkarzinom. Eine eindrucksvolle Demonstration der schwerwiegenden Prognose dieser Komplikation.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Kohortenanalyse; Konsequenz für Priorisierung von Versorgungsressourcen und Prävention</w:t>
      </w:r>
    </w:p>
    <w:p>
      <w:r>
        <w:rPr>
          <w:color w:val="5A7D3A"/>
          <w:sz w:val="18"/>
        </w:rPr>
        <w:t>https://pubmed.ncbi.nlm.nih.gov/42708860/</w:t>
      </w:r>
    </w:p>
    <w:p>
      <w:pPr>
        <w:pStyle w:val="Heading2"/>
      </w:pPr>
      <w:r>
        <w:t>Glukosemessung identifiziert Typ-1-Diabetes in frühen Stadien und Schnellfortschrittler</w:t>
      </w:r>
    </w:p>
    <w:p>
      <w:r>
        <w:rPr>
          <w:i/>
          <w:color w:val="666666"/>
          <w:sz w:val="18"/>
        </w:rPr>
        <w:t>Weiss A et al.  ·  Diabetologia  ·  07.09.2026  ·  PMID 42704479</w:t>
      </w:r>
    </w:p>
    <w:p>
      <w:r>
        <w:t>Kontinuierliche Glukosemessung mit FreeStyle Libre Pro iQ bei Kindern mit und ohne Diabetesautoantikörpern zur Unterscheidung von Krankheitsstadien und zur Risikoschichtung.</w:t>
      </w:r>
    </w:p>
    <w:p>
      <w:r>
        <w:rPr>
          <w:b/>
        </w:rPr>
        <w:t xml:space="preserve">Ergebnis: </w:t>
      </w:r>
      <w:r>
        <w:t>Bei frühem Typ-1-Diabetes hatten 22% (Stadium 1) und 52% (Stadium 2) erhöhte Glukoseparameter (oberhalb 97,5. Perzentil). Bei der Metrik »Zeit &gt;140 mg/dL« (TA140) &gt;15% wurden 75–100% der innerhalb eines Jahres zu klinischem Diabetes Fortschreitenden erkannt (Sensitivität). Systemabhängig variierende Referenzwerte erfordern Harmonisierung vor klinischer Anwendung.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Studiengruppe Fr1da (München); Transfer in deutsche Früherkennung realistisch</w:t>
      </w:r>
    </w:p>
    <w:p>
      <w:r>
        <w:rPr>
          <w:color w:val="5A7D3A"/>
          <w:sz w:val="18"/>
        </w:rPr>
        <w:t>https://pubmed.ncbi.nlm.nih.gov/42704479/</w:t>
      </w:r>
    </w:p>
    <w:p>
      <w:pPr>
        <w:pStyle w:val="Heading2"/>
      </w:pPr>
      <w:r>
        <w:t>Soziale Ungleichheit bei Gestationsdiabetes und Komplikationslast in Schweden</w:t>
      </w:r>
    </w:p>
    <w:p>
      <w:r>
        <w:rPr>
          <w:i/>
          <w:color w:val="666666"/>
          <w:sz w:val="18"/>
        </w:rPr>
        <w:t>Kaegi-Braun N et al.  ·  J Clin Endocrinol Metab  ·  07.09.2026  ·  PMID 42702813</w:t>
      </w:r>
    </w:p>
    <w:p>
      <w:r>
        <w:t>Nationale Kohortenstudie zu Assoziation von Herkunft, Bildung, Einkommen mit Gestationsdiabetes-Prävalenz und Komplikationen in 938.798 Schwangerschaften (2015–2023).</w:t>
      </w:r>
    </w:p>
    <w:p>
      <w:r>
        <w:rPr>
          <w:b/>
        </w:rPr>
        <w:t xml:space="preserve">Ergebnis: </w:t>
      </w:r>
      <w:r>
        <w:t>Gestationsdiabetes-Prävalenz stieg von 1,5% (2015) auf 6,6% (2023), steepest bei Migrationshintergrund, niedrigerer Bildung und niedrigerem Einkommen. Relative Assoziationen mit Schwangerschafts- und geburtshilflichen Komplikationen waren bei niedrigerer Bildung stärker (p-Interaktion=0,029, 0,038). Assoziation varierte nach Herkunftsregion; Absolute Risiken aber nicht uniformly niedriger bei Migrantinnen.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Schwedisches Registers; Vergleichbar mit deutschem Sozialversicherungssystem und Versorgungsauftrag</w:t>
      </w:r>
    </w:p>
    <w:p>
      <w:r>
        <w:rPr>
          <w:color w:val="5A7D3A"/>
          <w:sz w:val="18"/>
        </w:rPr>
        <w:t>https://pubmed.ncbi.nlm.nih.gov/42702813/</w:t>
      </w:r>
    </w:p>
    <w:p>
      <w:pPr>
        <w:pStyle w:val="Heading2"/>
      </w:pPr>
      <w:r>
        <w:t>Amputation bei Typ-2-Diabetes: 2,5-faches Herz-Kreislauf-Sterberisiko im Folgejahr</w:t>
      </w:r>
    </w:p>
    <w:p>
      <w:r>
        <w:rPr>
          <w:i/>
          <w:color w:val="666666"/>
          <w:sz w:val="18"/>
        </w:rPr>
        <w:t>Bergqvist K et al.  ·  Cardiovasc Diabetol  ·  24.08.2026  ·  PMID 42649507</w:t>
      </w:r>
    </w:p>
    <w:p>
      <w:r>
        <w:t>Bevölkerungsstudie zur kardiovaskulären Prognose nach Amputation bei Typ-2-Diabetes anhand des Schwedischen Nationaldiabetesregisters (2006–2019) mit Matching auf 13.940 Kontrollen ohne Amputation.</w:t>
      </w:r>
    </w:p>
    <w:p>
      <w:r>
        <w:rPr>
          <w:b/>
        </w:rPr>
        <w:t xml:space="preserve">Ergebnis: </w:t>
      </w:r>
      <w:r>
        <w:t>Adjustierte Hazard Ratios für Amputierte: Gesamtsterblichkeit 2,46 (95%-KI 2,31–2,61), kardiovaskuläre Sterblichkeit 2,43 (2,18–2,71), Herzinsuffizienz 2,13 (1,92–2,36), Myokardinfarkt 1,79 (1,55–2,08), Schlaganfall 1,52 (1,31–1,76). Im ersten Jahr nach Amputation &gt;3-fach erhöht, nach 5 Jahren noch um 50% erhöht.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Schwedisches Gesundheitssystem, nationale Registers; übertragbar auf deutsches Versicherungsregime</w:t>
      </w:r>
    </w:p>
    <w:p>
      <w:r>
        <w:rPr>
          <w:color w:val="5A7D3A"/>
          <w:sz w:val="18"/>
        </w:rPr>
        <w:t>https://pubmed.ncbi.nlm.nih.gov/42649507/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- Diabetes</dc:title>
  <dc:subject/>
  <dc:creator>Monitor Versorgungsforschung</dc:creator>
  <cp:keywords/>
  <dc:description>generated by python-docx</dc:description>
  <cp:lastModifiedBy/>
  <cp:revision>1</cp:revision>
  <dcterms:created xsi:type="dcterms:W3CDTF">2026-09-14T06:00:00Z</dcterms:created>
  <dcterms:modified xsi:type="dcterms:W3CDTF">2026-09-14T06:00:00Z</dcterms:modified>
  <cp:category/>
</cp:coreProperties>
</file>