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Diabetes</w:t>
      </w:r>
    </w:p>
    <w:p>
      <w:r>
        <w:rPr>
          <w:i/>
          <w:color w:val="666666"/>
          <w:sz w:val="18"/>
        </w:rPr>
        <w:t>Stand: 19.09.2026  |  62 Studien  |  diabetes.m-vf.de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Kulturell angepasstes Diabetes-Selbstmanagement senkt Kosten und steigert Lebensqualität</w:t>
      </w:r>
    </w:p>
    <w:p>
      <w:r>
        <w:rPr>
          <w:i/>
          <w:color w:val="666666"/>
          <w:sz w:val="18"/>
        </w:rPr>
        <w:t>Lamprecht-Carson D et al.  ·  Diabetes Obes Metab  ·  17.09.2026  ·  PMID 42755138</w:t>
      </w:r>
    </w:p>
    <w:p>
      <w:r>
        <w:t>Markov-Modell über 20 Jahre zur Kosteneffektivität eines kulturell angepassten Diabetes-Selbstmanagement-Schulungsprogramms (DSME) für Marshallesen mit Typ-2-Diabetes gegenüber Standard-DSME und Standardversorgung.</w:t>
      </w:r>
    </w:p>
    <w:p>
      <w:r>
        <w:rPr>
          <w:b/>
        </w:rPr>
        <w:t xml:space="preserve">Ergebnis: </w:t>
      </w:r>
      <w:r>
        <w:t>Angepasstes DSME-Programm war kosteneffektiv mit ICER von 3.083 USD pro QALY. Bei Willingness-to-Pay-Schwelle 50.000 USD/QALY war es in 87,1% der Simulationen die bevorzugte Strategie, bei 100.000 USD/QALY in 93,7%. Resultat robust gegenüber Sensitivitätsanalysen.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Interventionsdesign (kulturelle Anpassung) übertragbar auf deutsche Minderheitengruppen in DMP-Setting.</w:t>
      </w:r>
    </w:p>
    <w:p>
      <w:r>
        <w:rPr>
          <w:color w:val="5A7D3A"/>
          <w:sz w:val="18"/>
        </w:rPr>
        <w:t>https://pubmed.ncbi.nlm.nih.gov/42755138/</w:t>
      </w:r>
    </w:p>
    <w:p>
      <w:pPr>
        <w:pStyle w:val="Heading2"/>
      </w:pPr>
      <w:r>
        <w:t>Hypoglykämien sind mit Entzündungsmarkern und Immunveränderungen assoziiert</w:t>
      </w:r>
    </w:p>
    <w:p>
      <w:r>
        <w:rPr>
          <w:i/>
          <w:color w:val="666666"/>
          <w:sz w:val="18"/>
        </w:rPr>
        <w:t>Ajie M et al.  ·  Diabetes Obes Metab  ·  17.09.2026  ·  PMID 42755124</w:t>
      </w:r>
    </w:p>
    <w:p>
      <w:r>
        <w:t>Multizentrische Beobachtungsstudie (Hypo-METRICS) mit blinden Glukosesensoren über 10 Wochen bei 177 Personen mit Typ-1- und 185 mit Typ-2-Diabetes zur Assoziation sensorisch erkannter Hypoglykämien mit Entzündungsproteinen und Immunzellen.</w:t>
      </w:r>
    </w:p>
    <w:p>
      <w:r>
        <w:rPr>
          <w:b/>
        </w:rPr>
        <w:t xml:space="preserve">Ergebnis: </w:t>
      </w:r>
      <w:r>
        <w:t>Vier zirkulierende Entzündungsproteine (CCL28, CX3CL1, IL-17A, IL-17C) waren positiv mit Hypoglykämiehäufigkeit, -dauer und Time Below Range assoziiert (alle p&lt;0,05). Bei Typ-1-Diabetes waren pro-inflammatorische Monozytenreaktionen invers assoziiert mit Hypoglykämieparametern; Neutrophil- und Monozytencount waren erniedrigt (alle 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Multizenterstudie; CGM-gesteuerte Analyse direkt übertragbar auf deutsches Versorgungssetting.</w:t>
      </w:r>
    </w:p>
    <w:p>
      <w:r>
        <w:rPr>
          <w:color w:val="5A7D3A"/>
          <w:sz w:val="18"/>
        </w:rPr>
        <w:t>https://pubmed.ncbi.nlm.nih.gov/42755124/</w:t>
      </w:r>
    </w:p>
    <w:p>
      <w:pPr>
        <w:pStyle w:val="Heading2"/>
      </w:pPr>
      <w:r>
        <w:t>Frühe Automatische Insulinabgabe bei neu diagnostiziertem Typ-1-Diabetes wirksam</w:t>
      </w:r>
    </w:p>
    <w:p>
      <w:r>
        <w:rPr>
          <w:i/>
          <w:color w:val="666666"/>
          <w:sz w:val="18"/>
        </w:rPr>
        <w:t>Zhou Y et al.  ·  Diabetes Obes Metab  ·  17.09.2026  ·  PMID 42755122</w:t>
      </w:r>
    </w:p>
    <w:p>
      <w:r>
        <w:t>Prospektive Beobachtungsstudie in China mit 126 Personen, die innerhalb 3 Monate nach Typ-1-Diabetes-Diagnose ein AndroidAPS-System mit telemedizinischer Unterstützung initiierten; Verfolgung bis 12 Monate.</w:t>
      </w:r>
    </w:p>
    <w:p>
      <w:r>
        <w:rPr>
          <w:b/>
        </w:rPr>
        <w:t xml:space="preserve">Ergebnis: </w:t>
      </w:r>
      <w:r>
        <w:t>Time in Range (TIR 3,9–10,0 mmol/l) betrug 85,2% im ersten Monat und blieb bei 12 Monaten stabil. HbA1c fiel von 10,0% (64 mmol/mol) bei Diagnose auf 6,3% (45 mmol/mol) nach 12 Monaten. Keine schweren Hypoglykämien oder Ketoazidosen. Jedoch brachen 35,7% die Therapie ab, hauptsächlich wegen finanzieller Gründe (55,2%).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technologisches Konzept übertragbar, Finanzierungsmodell (Eigenfinanzierung) nicht auf deutsche GKV übertragbar.</w:t>
      </w:r>
    </w:p>
    <w:p>
      <w:r>
        <w:rPr>
          <w:color w:val="5A7D3A"/>
          <w:sz w:val="18"/>
        </w:rPr>
        <w:t>https://pubmed.ncbi.nlm.nih.gov/42755122/</w:t>
      </w:r>
    </w:p>
    <w:p>
      <w:pPr>
        <w:pStyle w:val="Heading2"/>
      </w:pPr>
      <w:r>
        <w:t>Hybrid-Closed-Loop-Insulin-Pumpen verbessern Blutglukose und psychisches Wohlbefinden</w:t>
      </w:r>
    </w:p>
    <w:p>
      <w:r>
        <w:rPr>
          <w:i/>
          <w:color w:val="666666"/>
          <w:sz w:val="18"/>
        </w:rPr>
        <w:t>Hohendorff J et al.  ·  Diabetes Obes Metab  ·  17.09.2026  ·  PMID 42755121</w:t>
      </w:r>
    </w:p>
    <w:p>
      <w:r>
        <w:t>Randomisierte kontrollierte 3-Monats-Studie (Hi-Loop) zur myloop CamAPS FX Hybrid-Closed-Loop-Therapie versus optimierter Insulin-Standardtherapie bei Typ-1-Diabetes mit HbA1c≥9,0% und psychischer Belastung.</w:t>
      </w:r>
    </w:p>
    <w:p>
      <w:r>
        <w:rPr>
          <w:b/>
        </w:rPr>
        <w:t xml:space="preserve">Ergebnis: </w:t>
      </w:r>
      <w:r>
        <w:t>HbA1c sank unter myloop CamAPS FX um 2,5% (gegenüber –0,9% Standard; Differenz –1,7%, 95% KI –2,6 bis –0,8%). Time in Range stieg um 27,4% (gegenüber –2,7%; Differenz +28,8%, 95% KI +16,8 bis +40,9%). Diabetes Burnout sank nur in der Interventionsgruppe (3,5→2,0; p=0,012); psychisches Wohlbefinden verbesserte sich.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Polen; Closed-Loop-Systeme in Deutschland in DMP-Typ-1 teilweise erstattbar; psychische Outcome-Verbesserung relevant für Versorgungsrealität.</w:t>
      </w:r>
    </w:p>
    <w:p>
      <w:r>
        <w:rPr>
          <w:color w:val="5A7D3A"/>
          <w:sz w:val="18"/>
        </w:rPr>
        <w:t>https://pubmed.ncbi.nlm.nih.gov/42755121/</w:t>
      </w:r>
    </w:p>
    <w:p>
      <w:pPr>
        <w:pStyle w:val="Heading2"/>
      </w:pPr>
      <w:r>
        <w:t>Orforglipron senkt 10-Jahres-Risiko für Typ-2-Diabetes und kardiovaskuläre Erkrankung</w:t>
      </w:r>
    </w:p>
    <w:p>
      <w:r>
        <w:rPr>
          <w:i/>
          <w:color w:val="666666"/>
          <w:sz w:val="18"/>
        </w:rPr>
        <w:t>Shinde S et al.  ·  Diabetes Obes Metab  ·  17.09.2026  ·  PMID 42750540</w:t>
      </w:r>
    </w:p>
    <w:p>
      <w:r>
        <w:t>Post-hoc-Analyse der Phase-3-Studie ATTAIN-1 zur Vorhersage des kardiometabolischen Risikos bei Personen mit Übergewicht/Adipositas ohne Diabetes unter wöchentlichem oralen Orforglipron versus Placebo über 72 Wochen.</w:t>
      </w:r>
    </w:p>
    <w:p>
      <w:r>
        <w:rPr>
          <w:b/>
        </w:rPr>
        <w:t xml:space="preserve">Ergebnis: </w:t>
      </w:r>
      <w:r>
        <w:t>Typ-2-Diabetes-Risiko sank unter Orforglipron um 48,6–59,4% gegenüber –10,5% unter Placebo (p&lt;0,0001). Nach Framingham-Modell reduzierte sich das totale kardiovaskuläre Risiko um 0,6–1,0% gegenüber +0,6% unter Placebo (p&lt;0,0001). Die Ergebnisse waren konsistent über drei validierte Risikorechner.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USA-amerikanische Studie; Datengrundlage nicht direkt auf deutsches Gesundheitssystem übertragbar.</w:t>
      </w:r>
    </w:p>
    <w:p>
      <w:r>
        <w:rPr>
          <w:color w:val="5A7D3A"/>
          <w:sz w:val="18"/>
        </w:rPr>
        <w:t>https://pubmed.ncbi.nlm.nih.gov/42750540/</w:t>
      </w:r>
    </w:p>
    <w:p>
      <w:pPr>
        <w:pStyle w:val="Heading2"/>
      </w:pPr>
      <w:r>
        <w:t>Fünfzig Jahre Kohortenstudien zum Typ-2-Diabetes: Lehren und Perspektiven</w:t>
      </w:r>
    </w:p>
    <w:p>
      <w:r>
        <w:rPr>
          <w:i/>
          <w:color w:val="666666"/>
          <w:sz w:val="18"/>
        </w:rPr>
        <w:t>Kim SH et al.  ·  Diabetologia  ·  26.08.2026  ·  PMID 42644887</w:t>
      </w:r>
    </w:p>
    <w:p>
      <w:r>
        <w:t>Narrative Übersichtsarbeit zur Rolle von Kohortenstudien in der Typ-2-Diabetes-Forschung der letzten 50 Jahre, ihre Bedeutung für Diagnostik, Komplikationen, Risikofaktoren und künftige Forschungsrichtungen.</w:t>
      </w:r>
    </w:p>
    <w:p>
      <w:r>
        <w:rPr>
          <w:b/>
        </w:rPr>
        <w:t xml:space="preserve">Ergebnis: </w:t>
      </w:r>
      <w:r>
        <w:t>Kohortenstudien haben das Verständnis von Typ-2-Diabetes erheblich vorangebracht und Leitlinien gestützt. Sie zeigen, dass Diagnostik, Screening, Komplikationen und Pathophysiologie am besten durch parallele Ansätze (Beobachtungsstudien und Experimente) untersucht werden. Künftige Richtungen: künstliche Intelligenz, Präzisions-Gesundheit und Exposom.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Multikontinentale Metaanalyse europäischer und globaler Kohorten; Methodologie direkt auf deutsche epidemiologische Forschung übertragbar.</w:t>
      </w:r>
    </w:p>
    <w:p>
      <w:r>
        <w:rPr>
          <w:color w:val="5A7D3A"/>
          <w:sz w:val="18"/>
        </w:rPr>
        <w:t>https://pubmed.ncbi.nlm.nih.gov/42644887/</w:t>
      </w:r>
    </w:p>
    <w:p>
      <w:pPr>
        <w:pStyle w:val="Heading2"/>
      </w:pPr>
      <w:r>
        <w:t>SGLT2-Hemmer in England: Unterversorgung trotz Leitlinienempfehlung</w:t>
      </w:r>
    </w:p>
    <w:p>
      <w:r>
        <w:rPr>
          <w:i/>
          <w:color w:val="666666"/>
          <w:sz w:val="18"/>
        </w:rPr>
        <w:t>Muller P et al.  ·  Diabetes Obes Metab  ·  04.08.2026  ·  PMID 42552240</w:t>
      </w:r>
    </w:p>
    <w:p>
      <w:r>
        <w:t>Bevölkerungsbasierte Querschnittsstudie zur Uptake der NICE-Leitlinie (2022) für SGLT2-Hemmer bei Typ-2-Diabetes in England anhand von 587.826 Patienten mit klinischen Daten vom 1. September 2023.</w:t>
      </w:r>
    </w:p>
    <w:p>
      <w:r>
        <w:rPr>
          <w:b/>
        </w:rPr>
        <w:t xml:space="preserve">Ergebnis: </w:t>
      </w:r>
      <w:r>
        <w:t>18 Monate nach Leitlinienaktualisierung lag die SGLT2-Hemmer-Verordnung bei 19,5% (kardiovaskuläre Erkrankung), 29,4% (Herzinsuffizienz), 30,5% (beide) und 19,9–20,2% (hohes kardiovaskuläres Risiko). Unterversorgung war besonders bei Frauen, schwarzen Patienten und Personen aus benachteiligten Gebieten ausgeprägt.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NHS-System; direkt vergleichbar mit Deutschen DMP-Strukturen und Leitlinienimplementierung.</w:t>
      </w:r>
    </w:p>
    <w:p>
      <w:r>
        <w:rPr>
          <w:color w:val="5A7D3A"/>
          <w:sz w:val="18"/>
        </w:rPr>
        <w:t>https://pubmed.ncbi.nlm.nih.gov/42552240/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Frühe Glukosemesstechnik verbessert kognitive Entwicklung bei Kinder-Typ-1-Diabetes</w:t>
      </w:r>
    </w:p>
    <w:p>
      <w:r>
        <w:rPr>
          <w:i/>
          <w:color w:val="666666"/>
          <w:sz w:val="18"/>
        </w:rPr>
        <w:t>Bassi M et al.  ·  Diabetes Res Clin Pract  ·  17.09.2026  ·  PMID 42753828</w:t>
      </w:r>
    </w:p>
    <w:p>
      <w:r>
        <w:t>Die prospektive Kohortenstudie mit 153 Kindern und Jugendlichen (6–17 Jahre) prüfte, ob kontinuierliche Glukosemessung (CGM) und automatisierte Insulinabgabe mit neuropsychologischen Ergebnissen (WISC-IV, Exekutivfunktion, Verhalten) korrelieren.</w:t>
      </w:r>
    </w:p>
    <w:p>
      <w:r>
        <w:rPr>
          <w:b/>
        </w:rPr>
        <w:t xml:space="preserve">Ergebnis: </w:t>
      </w:r>
      <w:r>
        <w:t>Anhaltende CGM-Nutzung (≥90% der Krankheitsdauer) und höherer automatisierter Betrieb (≥50%) waren mit höherem Verbal Comprehension Index (p=0,005 und p=0,025) und General Ability Index (p=0,015 und p=0,043) assoziiert. HbA1c ≤53 mmol/mol in den ersten 2–5 Jahren nach Diagnose korrelierte mit besseren exekutiven Funktionen und Verhaltenszielen.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Zentren, kinderdiabetologisch relevant für Technologie-Einsatz</w:t>
      </w:r>
    </w:p>
    <w:p>
      <w:r>
        <w:rPr>
          <w:color w:val="5A7D3A"/>
          <w:sz w:val="18"/>
        </w:rPr>
        <w:t>https://pubmed.ncbi.nlm.nih.gov/42753828/</w:t>
      </w:r>
    </w:p>
    <w:p>
      <w:pPr>
        <w:pStyle w:val="Heading2"/>
      </w:pPr>
      <w:r>
        <w:t>Sensortechnik ohne Unterbrechung reduziert Automatikmodus-Unterbrechungen um 23 Min/Tag</w:t>
      </w:r>
    </w:p>
    <w:p>
      <w:r>
        <w:rPr>
          <w:i/>
          <w:color w:val="666666"/>
          <w:sz w:val="18"/>
        </w:rPr>
        <w:t>Marigliano M et al.  ·  Diabetes Res Clin Pract  ·  17.09.2026  ·  PMID 42753827</w:t>
      </w:r>
    </w:p>
    <w:p>
      <w:r>
        <w:t>Multizentrische retrospektive Studie an 42 Jugendlichen, die von Guardian-4- auf Simplera-Sync-Sensor wechselten, verglich kontinuierliche-Glukosemessungs-Parameter und Patient-Reported Outcomes nach MiniMed 780G zwischen letzten zwei Wochen alter und neuer Sensornutzung.</w:t>
      </w:r>
    </w:p>
    <w:p>
      <w:r>
        <w:rPr>
          <w:b/>
        </w:rPr>
        <w:t xml:space="preserve">Ergebnis: </w:t>
      </w:r>
      <w:r>
        <w:t>Automatisierter Modus stieg von 95,3% auf 97,1% (+1,8 Prozentpunkte, ~23 Min/Tag; p&lt;0,02). Time-in-Range (70–180 mg/dL) stieg von 76,7% auf 79,3% (p&lt;0,05); Mittelglukose sank von 146,0 auf 141,3 mg/dL (p&lt;0,05). Behandlungszufriedenheit erhöht, wahrgenommene Last verringert (beide p&lt;0,01).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Verbundnetz, technologie-/gerätepolitik für DMP-Modelle relevant</w:t>
      </w:r>
    </w:p>
    <w:p>
      <w:r>
        <w:rPr>
          <w:color w:val="5A7D3A"/>
          <w:sz w:val="18"/>
        </w:rPr>
        <w:t>https://pubmed.ncbi.nlm.nih.gov/42753827/</w:t>
      </w:r>
    </w:p>
    <w:p>
      <w:pPr>
        <w:pStyle w:val="Heading2"/>
      </w:pPr>
      <w:r>
        <w:t>Orales Semaglutid reduziert kardiovaskuläres Risiko in Echtpraxis stärker als DPP4/SGLT2i</w:t>
      </w:r>
    </w:p>
    <w:p>
      <w:r>
        <w:rPr>
          <w:i/>
          <w:color w:val="666666"/>
          <w:sz w:val="18"/>
        </w:rPr>
        <w:t>Tan X et al.  ·  Diabetes Ther  ·  17.09.2026  ·  PMID 42753116</w:t>
      </w:r>
    </w:p>
    <w:p>
      <w:r>
        <w:t>Beobachtungskohortenstudie mit US-Verwaltungsdaten an 10.878 Semaglutid-Neupatienten mit Typ-2-Diabetes und ASKVD verglich MACE und Sterblichkeit gegenüber Dipeptidylpeptidase-4-Inhibitoren (DPP4i, n=7.218) und SGLT2-Inhibitoren (SGLT2i, n=21.572).</w:t>
      </w:r>
    </w:p>
    <w:p>
      <w:r>
        <w:rPr>
          <w:b/>
        </w:rPr>
        <w:t xml:space="preserve">Ergebnis: </w:t>
      </w:r>
      <w:r>
        <w:t>Semaglutid zeigte 17–21% Reduktion des 3-Punkte-MACE vs. alle Vergleicher (p&lt;0,001). Gegen DPP4i: 22–24% Risikoreduktion (p&lt;0,001). Gegen SGLT2i: 21–22% Risikoreduktion für 3-Punkte-MACE (p&lt;0,001); signifikant niedrigere Gesamtsterblichkeit und Schlaganfallrisiko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praxisrelevant für Deutschland nur beim kardiovaskulären Schutzprofil</w:t>
      </w:r>
    </w:p>
    <w:p>
      <w:r>
        <w:rPr>
          <w:color w:val="5A7D3A"/>
          <w:sz w:val="18"/>
        </w:rPr>
        <w:t>https://pubmed.ncbi.nlm.nih.gov/42753116/</w:t>
      </w:r>
    </w:p>
    <w:p>
      <w:pPr>
        <w:pStyle w:val="Heading2"/>
      </w:pPr>
      <w:r>
        <w:t>MVX-Index vorhersagt Sterblichkeit bei Typ-2-Diabetes stärker als klassische Risikofaktoren</w:t>
      </w:r>
    </w:p>
    <w:p>
      <w:r>
        <w:rPr>
          <w:i/>
          <w:color w:val="666666"/>
          <w:sz w:val="18"/>
        </w:rPr>
        <w:t>Keech AC et al.  ·  Diabetologia  ·  17.09.2026  ·  PMID 42752966</w:t>
      </w:r>
    </w:p>
    <w:p>
      <w:r>
        <w:t>Die Studie untersuchte, ob NMR-basierte metabolische Vulnerabilitätsindizes (MVX) in einer 5-Jahres-Verlaufsbeobachtung von 9.550 Patienten mit Typ-2-Diabetes die Mortalität besser prognostizieren als etablierte klinische Parameter.</w:t>
      </w:r>
    </w:p>
    <w:p>
      <w:r>
        <w:rPr>
          <w:b/>
        </w:rPr>
        <w:t xml:space="preserve">Ergebnis: </w:t>
      </w:r>
      <w:r>
        <w:t>MVX in der höchsten Quintile war mit mehr als doppeltem Mortalitätsrisiko assoziiert (HR 2,31; 95%-KI 1,71–3,12); jede Standardabweichung MVX-Anstieg bedeutete 75% höheres Mortalitätsrisiko (p&lt;0,001). MVX verbesserte die Risiko-Diskrimination (C-Statistik 0,725 → 0,737; p=0,0003) über alle etablierten Faktoren hinaus.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Australische/neuseeländische Klinikdaten, aber Methodik übertragbar auf deutsche Register</w:t>
      </w:r>
    </w:p>
    <w:p>
      <w:r>
        <w:rPr>
          <w:color w:val="5A7D3A"/>
          <w:sz w:val="18"/>
        </w:rPr>
        <w:t>https://pubmed.ncbi.nlm.nih.gov/42752966/</w:t>
      </w:r>
    </w:p>
    <w:p>
      <w:pPr>
        <w:pStyle w:val="Heading2"/>
      </w:pPr>
      <w:r>
        <w:t>Frühe Unterernährung beeinträchtigt Insulinsensitivität dauerhaft, auch nach Gewichtszunahme</w:t>
      </w:r>
    </w:p>
    <w:p>
      <w:r>
        <w:rPr>
          <w:i/>
          <w:color w:val="666666"/>
          <w:sz w:val="18"/>
        </w:rPr>
        <w:t>Cox SE et al.  ·  Diabet Med  ·  16.09.2026  ·  PMID 42748280</w:t>
      </w:r>
    </w:p>
    <w:p>
      <w:r>
        <w:t>Querschnitts-Analyse aus sechs prospektiven Kohorten in Sambia, Tansania, Indien und Philippinen (n=2.172) prüfte, ob frühere Wasting-Malnutrition (Emaziierung) die Insulin-Sekation und -Sensitivität in der Gegenwart beeinflusst, stratifiziert nach aktuellem BMI.</w:t>
      </w:r>
    </w:p>
    <w:p>
      <w:r>
        <w:rPr>
          <w:b/>
        </w:rPr>
        <w:t xml:space="preserve">Ergebnis: </w:t>
      </w:r>
      <w:r>
        <w:t>Kinder mit Emaziierung hatten 20–24% niedrigere Insulinsensitivität (Matsuda-Index). Erwachsene mit früher Emaziierung (vor 36–37 Jahren) zeigten auch nach Anpassung für heutigen BMI 18% niedrigere Sensitivität. Kürzliche Emaziierung (3–17 Jahre) korrelierte mit 10–20% niedrigerer Sekretion, aber 21–47% höherer Sensitivität (aufgrund niedriger aktueller BMI).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Asien, Afrika – wichtig für LMICs; für Deutschland indirekt, wenn Migration/frühe Mangelernährung-Kohorten</w:t>
      </w:r>
    </w:p>
    <w:p>
      <w:r>
        <w:rPr>
          <w:color w:val="5A7D3A"/>
          <w:sz w:val="18"/>
        </w:rPr>
        <w:t>https://pubmed.ncbi.nlm.nih.gov/42748280/</w:t>
      </w:r>
    </w:p>
    <w:p>
      <w:pPr>
        <w:pStyle w:val="Heading2"/>
      </w:pPr>
      <w:r>
        <w:t>Indiens Strategien zur Kostenreduktion moderner Diabetesmittel – Vorlage für LMICs und High-Income-Länder</w:t>
      </w:r>
    </w:p>
    <w:p>
      <w:r>
        <w:rPr>
          <w:i/>
          <w:color w:val="666666"/>
          <w:sz w:val="18"/>
        </w:rPr>
        <w:t>Mohan V et al.  ·  Diabetes Care  ·  16.09.2026  ·  PMID 42747945</w:t>
      </w:r>
    </w:p>
    <w:p>
      <w:r>
        <w:t>Expertenbericht aus dem führenden indischen Diabeteszentrum beschreibt pharmazeutische Politik, Preisregulation, generische Produktion und öffentliche Verteilungsinitiativen, die in Indien 60–90% Kostenreduktion für SGLT2i und GLP-1-RA nach Patentablauf erreicht haben.</w:t>
      </w:r>
    </w:p>
    <w:p>
      <w:r>
        <w:rPr>
          <w:b/>
        </w:rPr>
        <w:t xml:space="preserve">Ergebnis: </w:t>
      </w:r>
      <w:r>
        <w:t>Indien hat 15- bis 65-fache Preisdifferenzen gegenüber USA-Listenpreisen bei selektierten Mitteln erzielt. Patentablauf, starker Generika-Wettbewerb, strukturierte Preisregulation und Ayushman-Bharat-Regierungsprogramme haben Zugang für Arme und ländliche Bevölkerung erheblich verbessert. Qualitäts- und Pharmakokinetik-Unterschiede zwischen Herstellern bleiben eine Herausforderung.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LMICs – Lehren für Deutschland nur beim regulatorischen/pricing-Modell, nicht direkt übertragbar</w:t>
      </w:r>
    </w:p>
    <w:p>
      <w:r>
        <w:rPr>
          <w:color w:val="5A7D3A"/>
          <w:sz w:val="18"/>
        </w:rPr>
        <w:t>https://pubmed.ncbi.nlm.nih.gov/42747945/</w:t>
      </w:r>
    </w:p>
    <w:p>
      <w:pPr>
        <w:pStyle w:val="Heading2"/>
      </w:pPr>
      <w:r>
        <w:t>Kohortenstudien als Grundlage der modernen Diabetologie – 50 Jahre Wissensentwicklung</w:t>
      </w:r>
    </w:p>
    <w:p>
      <w:r>
        <w:rPr>
          <w:i/>
          <w:color w:val="666666"/>
          <w:sz w:val="18"/>
        </w:rPr>
        <w:t>Sargent JL et al.  ·  Diabetologia  ·  16.09.2026  ·  PMID 42747447</w:t>
      </w:r>
    </w:p>
    <w:p>
      <w:r>
        <w:t>Narrative Übersichtsarbeit von Kohortenforschern aus weltweit über 30 Zentren fasst zusammen, wie Beobachtungsstudien das Verständnis von Typ-2-Diabetes-Entstehung, -Komplikationen und -Risikofaktoren über fünf Dekaden vorangebracht haben.</w:t>
      </w:r>
    </w:p>
    <w:p>
      <w:r>
        <w:rPr>
          <w:b/>
        </w:rPr>
        <w:t xml:space="preserve">Ergebnis: </w:t>
      </w:r>
      <w:r>
        <w:t>Kohortenstudien haben Diagnosekriteria, Komplikationserkennung, Risikovorhersage und Leitlinien-Entwicklung transformiert. Die Analyse behandelt Stärken/Schwächen gegenüber RCTs und experimentellen Modellen; Zukunftswege (KI, Präzisions-Health, Exposom) sind skizziert. Schluss: experimentelle und beobachtende Forschung sind komplementär für Verständnis und Politikwandel.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Evidenzsynthese, methodologisch für alle Gesundheitssysteme grundlegend</w:t>
      </w:r>
    </w:p>
    <w:p>
      <w:r>
        <w:rPr>
          <w:color w:val="5A7D3A"/>
          <w:sz w:val="18"/>
        </w:rPr>
        <w:t>https://pubmed.ncbi.nlm.nih.gov/42747447/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CGM-Trajektorien bei Typ-1-Diabetes: Altersgruppen profitieren unterschiedlich</w:t>
      </w:r>
    </w:p>
    <w:p>
      <w:r>
        <w:rPr>
          <w:i/>
          <w:color w:val="666666"/>
          <w:sz w:val="18"/>
        </w:rPr>
        <w:t>Yoo JH et al.  ·  Diabetes Care  ·  16.09.2026  ·  PMID 42747916</w:t>
      </w:r>
    </w:p>
    <w:p>
      <w:r>
        <w:t>Dreiachähr-Kohortenstudie mit 1028 Personen und 3441 CGM-Profilen zur Analyse von Glukoseverlauf stratifiziert nach Alter, Nierenfunktion, Betazellfunktion und BMI.</w:t>
      </w:r>
    </w:p>
    <w:p>
      <w:r>
        <w:rPr>
          <w:b/>
        </w:rPr>
        <w:t xml:space="preserve">Ergebnis: </w:t>
      </w:r>
      <w:r>
        <w:t>Ältere Erwachsene zeigen Verbesserung der Time in Range (TIR) vergleichbar zu jüngeren (β=0,110, p=0,102) ohne Verschärfung von Hypoglykämien. Bei chronischer Nierenkrankheit signifikante TIR-Verbesserung (β=0,228, p=0,002). Schwere Betazelleninsuffizienz limitiert TIR-Gewinne (β=-0,119, p=0,025); substantielle Heterogenität innerhalb Subgruppen unterstützt individualisierte 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Südkorea; Konsequenz: Subgruppengerechte CGM-Ziele sind praktikabel und nötig</w:t>
      </w:r>
    </w:p>
    <w:p>
      <w:r>
        <w:rPr>
          <w:color w:val="5A7D3A"/>
          <w:sz w:val="18"/>
        </w:rPr>
        <w:t>https://pubmed.ncbi.nlm.nih.gov/42747916/</w:t>
      </w:r>
    </w:p>
    <w:p>
      <w:pPr>
        <w:pStyle w:val="Heading2"/>
      </w:pPr>
      <w:r>
        <w:t>Typ-1-Diabetes bei Erwachsenen: Leitlinie mit Gewicht auf neue Technologien</w:t>
      </w:r>
    </w:p>
    <w:p>
      <w:r>
        <w:rPr>
          <w:i/>
          <w:color w:val="666666"/>
          <w:sz w:val="18"/>
        </w:rPr>
        <w:t>Holt RIG et al.  ·  Diabetologia  ·  16.09.2026  ·  PMID 42747450</w:t>
      </w:r>
    </w:p>
    <w:p>
      <w:r>
        <w:t>Aktualisierte internationale Leitlinie von ADA und EASD zur Behandlung von Typ-1-Diabetes bei Erwachsenen mit Fokus auf Technologien, Screeningverfahren und Management von Adipositas sowie psychosozialer Belastung.</w:t>
      </w:r>
    </w:p>
    <w:p>
      <w:r>
        <w:rPr>
          <w:b/>
        </w:rPr>
        <w:t xml:space="preserve">Ergebnis: </w:t>
      </w:r>
      <w:r>
        <w:t>Die Leitlinie integriert kontinuierliche Glukosemessung (CGM) und automatisierte Insulingabesysteme als Standardtherapie, empfiehlt psychische Unterstützung und adressiert erstmals systematisch Langzeit-Komplikationsscreening sowie Prävention von Typ-1-Diabetes im Stadium 3.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ADA/EASD-Konsens, anwendbar auf deutsches Versorgungssystem mit Anpassung an DMP-Struktur</w:t>
      </w:r>
    </w:p>
    <w:p>
      <w:r>
        <w:rPr>
          <w:color w:val="5A7D3A"/>
          <w:sz w:val="18"/>
        </w:rPr>
        <w:t>https://pubmed.ncbi.nlm.nih.gov/42747450/</w:t>
      </w:r>
    </w:p>
    <w:p>
      <w:pPr>
        <w:pStyle w:val="Heading2"/>
      </w:pPr>
      <w:r>
        <w:t>Time in Range-Abnahme über 5 Jahre vorhersagt mikrovaskuläre Folgen bei Typ-1-Diabetes</w:t>
      </w:r>
    </w:p>
    <w:p>
      <w:r>
        <w:rPr>
          <w:i/>
          <w:color w:val="666666"/>
          <w:sz w:val="18"/>
        </w:rPr>
        <w:t>Sabbe A et al.  ·  J Clin Endocrinol Metab  ·  16.09.2026  ·  PMID 42745423</w:t>
      </w:r>
    </w:p>
    <w:p>
      <w:r>
        <w:t>Real-World-Kohortenstudie (246 Personen, 24 Jahre Diabetesdauer) zur Assoziation zwischen CGM-Metriken und Auftreten von Nephropathie, Retinopathie oder Neuropathie über 5 Jahre.</w:t>
      </w:r>
    </w:p>
    <w:p>
      <w:r>
        <w:rPr>
          <w:b/>
        </w:rPr>
        <w:t xml:space="preserve">Ergebnis: </w:t>
      </w:r>
      <w:r>
        <w:t>HbA1c sank von 7,6% auf 7,2%, TIR stieg von 50% auf 61%. Eine TIR-Abnahme ≥10% war assoziiert mit Komplikationsrate 33,3% (vs. 7,9% bei stabiler TIR, 15,0% bei Zunahme, p=0,011). Change in TIR blieb unabhängig mit Outcome assoziiert (AUC 0,757–0,787). Modelle mit CGM-Metriken und Alter zeigen akzeptable diskriminative Leistung.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ähnliche Versorgungsstruktur; TIR-Trend als Prognosemarker über HbA1c hinaus relevant</w:t>
      </w:r>
    </w:p>
    <w:p>
      <w:r>
        <w:rPr>
          <w:color w:val="5A7D3A"/>
          <w:sz w:val="18"/>
        </w:rPr>
        <w:t>https://pubmed.ncbi.nlm.nih.gov/42745423/</w:t>
      </w:r>
    </w:p>
    <w:p>
      <w:pPr>
        <w:pStyle w:val="Heading2"/>
      </w:pPr>
      <w:r>
        <w:t>Diabetes Distress: Evidenzbasierte Leitlinie zur Diagnostik und Therapie</w:t>
      </w:r>
    </w:p>
    <w:p>
      <w:r>
        <w:rPr>
          <w:i/>
          <w:color w:val="666666"/>
          <w:sz w:val="18"/>
        </w:rPr>
        <w:t>Speight J et al.  ·  Diabetologia  ·  15.09.2026  ·  PMID 42744915</w:t>
      </w:r>
    </w:p>
    <w:p>
      <w:r>
        <w:t>EASD-Leitlinie mit systematischer Evidenzbewertung zu Assessment und Behandlung der emotionalen Belastung (Diabetes Distress) bei Typ-1 und Typ-2-Diabetes im Erwachsenenalter.</w:t>
      </w:r>
    </w:p>
    <w:p>
      <w:r>
        <w:rPr>
          <w:b/>
        </w:rPr>
        <w:t xml:space="preserve">Ergebnis: </w:t>
      </w:r>
      <w:r>
        <w:t>Acht Good-Practice-Statements zum Screening (Routinediskussion psychisches Wohlbefinden, validierte Messtools), für Typ-1-Diabetes: CGM und automatisierte Insulingabe reduzieren Distress; für Typ-2-Diabetes: psychologische und schulische Interventionen wirksam; Empfehlungen basieren auf GRADE-Methodik mit systematischem Review und Metaanalyse.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Versorgungssystem, direkt in deutsches DMP integrierbar, Training erforderlich</w:t>
      </w:r>
    </w:p>
    <w:p>
      <w:r>
        <w:rPr>
          <w:color w:val="5A7D3A"/>
          <w:sz w:val="18"/>
        </w:rPr>
        <w:t>https://pubmed.ncbi.nlm.nih.gov/42744915/</w:t>
      </w:r>
    </w:p>
    <w:p>
      <w:pPr>
        <w:pStyle w:val="Heading2"/>
      </w:pPr>
      <w:r>
        <w:t>Prävention Typ-2-Diabetes: Bewegungsreaktion differiert nach Glukosestatus</w:t>
      </w:r>
    </w:p>
    <w:p>
      <w:r>
        <w:rPr>
          <w:i/>
          <w:color w:val="666666"/>
          <w:sz w:val="18"/>
        </w:rPr>
        <w:t>James E et al.  ·  Diabetologia  ·  14.09.2026  ·  PMID 42736402</w:t>
      </w:r>
    </w:p>
    <w:p>
      <w:r>
        <w:t>Gepoolte Analyse von 3 RCTs (2150 Personen, bis 48 Monate) zu Effekt strukturierter Lebensstil-Interventionen auf Bewegung und Glukose stratifiziert nach Baseline-Glukose-Phänotyp.</w:t>
      </w:r>
    </w:p>
    <w:p>
      <w:r>
        <w:rPr>
          <w:b/>
        </w:rPr>
        <w:t xml:space="preserve">Ergebnis: </w:t>
      </w:r>
      <w:r>
        <w:t>IFG+IGT-Gruppe: Intervention erhöhte Schritte um 808/Tag (95%-KI 402–1213) mit 2-h-Glukose-Senkung –0,5 mmol/L (p=0,001). Reine IFG-Gruppe nicht responsiv (71 Schritte, KI –429–571, n.s.). Normoglykämie und IGT-Gruppen zeigten intermediäre Effekte. Heterogene Baseline-Bewegungsmengen. Schluss: Klinische Wirksamkeit von Diabetes-Präventions-Programmen differiert nach Glykämiestatus.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Großbritannien/NIHR; Implikation: Interventionen müssen nach Phänotyp tailored werden</w:t>
      </w:r>
    </w:p>
    <w:p>
      <w:r>
        <w:rPr>
          <w:color w:val="5A7D3A"/>
          <w:sz w:val="18"/>
        </w:rPr>
        <w:t>https://pubmed.ncbi.nlm.nih.gov/42736402/</w:t>
      </w:r>
    </w:p>
    <w:p>
      <w:pPr>
        <w:pStyle w:val="Heading2"/>
      </w:pPr>
      <w:r>
        <w:t>Diabetes und Diphtherie durch Corynebacterium ulcerans: deutsches Risiko-Register 2017–2022</w:t>
      </w:r>
    </w:p>
    <w:p>
      <w:r>
        <w:rPr>
          <w:i/>
          <w:color w:val="666666"/>
          <w:sz w:val="18"/>
        </w:rPr>
        <w:t>Badenschier F et al.  ·  Dtsch Arztebl Int  ·  10.07.2026  ·  PMID 42687590</w:t>
      </w:r>
    </w:p>
    <w:p>
      <w:r>
        <w:t>Analyse des intensivierten Diphtherie-Surveillance-Systems (RKI) zur Assoziation zwischen Diabetes mellitus und invasivem C.-ulcerans-Infekt (Diphtherie) in Deutschland.</w:t>
      </w:r>
    </w:p>
    <w:p>
      <w:r>
        <w:rPr>
          <w:b/>
        </w:rPr>
        <w:t xml:space="preserve">Ergebnis: </w:t>
      </w:r>
      <w:r>
        <w:t>Gesamtzeitraum: 8 Fälle C.-ulcerans-Diphtherie. Diabetes mellitus und Haustierkontakt waren signifikante Risikofaktoren. Diabetiker zeigten erhöhte Prädisposition für schwere Infektionen. Daten aus deutschem Surveillance-System belegen epidemiologische Assoziation; Impfstatus und Management bei Diabetikern unterrepräsentiert.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RKI-Surveillance; direkter Anwendungsbezug für Diabetologen bei Impfempfehlungen</w:t>
      </w:r>
    </w:p>
    <w:p>
      <w:r>
        <w:rPr>
          <w:color w:val="5A7D3A"/>
          <w:sz w:val="18"/>
        </w:rPr>
        <w:t>https://pubmed.ncbi.nlm.nih.gov/42687590/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Verschiedene Erkennungsraten bei gezieltem Diabetes-Screening in Dänemark</w:t>
      </w:r>
    </w:p>
    <w:p>
      <w:r>
        <w:rPr>
          <w:i/>
          <w:color w:val="666666"/>
          <w:sz w:val="18"/>
        </w:rPr>
        <w:t>Mateu NC et al.  ·  BMJ Open Diabetes Res Care  ·  15.09.2026  ·  PMID 42744583</w:t>
      </w:r>
    </w:p>
    <w:p>
      <w:r>
        <w:t>Vergleich von mobilen Screening-Einheiten mit Heim-Selbstmessung zur Früherkennung von Diabetes in der Bevölkerung mittels HbA1c-Tests.</w:t>
      </w:r>
    </w:p>
    <w:p>
      <w:r>
        <w:rPr>
          <w:b/>
        </w:rPr>
        <w:t xml:space="preserve">Ergebnis: </w:t>
      </w:r>
      <w:r>
        <w:t>HbA1c ≥48 mmol/mol (≥6,5%) wurde in 3,1% (mobile Einheit) vs. 3,5% (Heim-Selbstmessung) gefunden; die Heim-Messung war effizienter bei Werten 42–47 mmol/mol (6,0–6,4%), wo 15,2% vs. 9,1% erreicht wurden. Beide Methoden sind komplementär.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vergleichbarer nordeuropäischer Sozialversicherung, hohe Übertragbarkeit auf deutsche Screening-Strukturen</w:t>
      </w:r>
    </w:p>
    <w:p>
      <w:r>
        <w:rPr>
          <w:color w:val="5A7D3A"/>
          <w:sz w:val="18"/>
        </w:rPr>
        <w:t>https://pubmed.ncbi.nlm.nih.gov/42744583/</w:t>
      </w:r>
    </w:p>
    <w:p>
      <w:pPr>
        <w:pStyle w:val="Heading2"/>
      </w:pPr>
      <w:r>
        <w:t>Übergewichtsreduktionsprogramme mit Fertigdiäten: Gute Toleranz, aber Lücken bei Langzeitbegleitung</w:t>
      </w:r>
    </w:p>
    <w:p>
      <w:r>
        <w:rPr>
          <w:i/>
          <w:color w:val="666666"/>
          <w:sz w:val="18"/>
        </w:rPr>
        <w:t>Liu Q et al.  ·  Diabetes Res Clin Pract  ·  15.09.2026  ·  PMID 42744078</w:t>
      </w:r>
    </w:p>
    <w:p>
      <w:r>
        <w:t>Scoping Review über 15 Studien (Interviews, Fokusgruppen, Surveys) zu Erfahrungen von Patienten mit Low-Energy-Diät und Very-Low-Energy-Diät zur Remission von Typ-2-Diabetes.</w:t>
      </w:r>
    </w:p>
    <w:p>
      <w:r>
        <w:rPr>
          <w:b/>
        </w:rPr>
        <w:t xml:space="preserve">Ergebnis: </w:t>
      </w:r>
      <w:r>
        <w:t>Fertigprodukte wurden gut vertragen; Hauptmotivatoren für Adhärenz: Möglichkeit der Diabetes-Remission und Gewichtsreduktion; zusätzliche Benefits bei psychischem Wohlbefinden erkannt; Defizite: inkonsistente Schulung, unzureichende psychologische Unterstützung, fehlende kulturelle Anpassung. Verständnis des Verhaltens nach Programm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übertragbare Erkenntnisse zu Adhärenz-Barrieren für deutsche Remissions-Programme, besonders bezüglich psychologischer Unterstützung</w:t>
      </w:r>
    </w:p>
    <w:p>
      <w:r>
        <w:rPr>
          <w:color w:val="5A7D3A"/>
          <w:sz w:val="18"/>
        </w:rPr>
        <w:t>https://pubmed.ncbi.nlm.nih.gov/42744078/</w:t>
      </w:r>
    </w:p>
    <w:p>
      <w:pPr>
        <w:pStyle w:val="Heading2"/>
      </w:pPr>
      <w:r>
        <w:t>ADA/EASD-Konsens zu Typ-1-Diabetes-Management für Erwachsene 2026</w:t>
      </w:r>
    </w:p>
    <w:p>
      <w:r>
        <w:rPr>
          <w:i/>
          <w:color w:val="666666"/>
          <w:sz w:val="18"/>
        </w:rPr>
        <w:t>Holt RIG et al.  ·  Diabetes Care  ·  15.09.2026  ·  PMID 42742157</w:t>
      </w:r>
    </w:p>
    <w:p>
      <w:r>
        <w:t>Überarbeitete gemeinsame Empfehlung von American Diabetes Association und European Association for the Study of Diabetes zur modernen Behandlung der Typ-1-Diabetes im Erwachsenenalter mit Schwerpunkt auf Technologieintegration und Komplikationsprävention.</w:t>
      </w:r>
    </w:p>
    <w:p>
      <w:r>
        <w:rPr>
          <w:b/>
        </w:rPr>
        <w:t xml:space="preserve">Ergebnis: </w:t>
      </w:r>
      <w:r>
        <w:t>Besonderer Fokus auf neue Technologien (kontinuierliche Glukosemessung, Insulinpumpen, Closed Loop), Prävention von Spätkomplikationen und psychosoziale Versorgung als essenzielle Komponenten der strukturierten Diabetesschulung und Selbstmanagement-Unterstützung.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evidenzbasierte Leitlinie, direkt übertragbar auf deutsches DMP und strukturierte Behandlungsprogramme</w:t>
      </w:r>
    </w:p>
    <w:p>
      <w:r>
        <w:rPr>
          <w:color w:val="5A7D3A"/>
          <w:sz w:val="18"/>
        </w:rPr>
        <w:t>https://pubmed.ncbi.nlm.nih.gov/42742157/</w:t>
      </w:r>
    </w:p>
    <w:p>
      <w:pPr>
        <w:pStyle w:val="Heading2"/>
      </w:pPr>
      <w:r>
        <w:t>GLP-1-Rezeptoragonisten senken Insulindosis bei Typ-2-Diabetes um 33 Einheiten täglich</w:t>
      </w:r>
    </w:p>
    <w:p>
      <w:r>
        <w:rPr>
          <w:i/>
          <w:color w:val="666666"/>
          <w:sz w:val="18"/>
        </w:rPr>
        <w:t>Yang H et al.  ·  Diabetes Obes Metab  ·  14.09.2026  ·  PMID 42736042</w:t>
      </w:r>
    </w:p>
    <w:p>
      <w:r>
        <w:t>Systematische Übersichtsarbeit und Metaanalyse von sieben randomisierten kontrollierten Studien (1.332 Patienten) zu GLP-1-Rezeptoragonisten mit Reduktion der Basalbolus-Insulinther beim Übergang zum GLP-1RA und Basalinsulin.</w:t>
      </w:r>
    </w:p>
    <w:p>
      <w:r>
        <w:rPr>
          <w:b/>
        </w:rPr>
        <w:t xml:space="preserve">Ergebnis: </w:t>
      </w:r>
      <w:r>
        <w:t>HbA1c-Unterschied nicht signifikant (–0,08 Prozentpunkte; 95% CI –0,28 bis 0,12; p=0,391); Körpergewichtreduktion –4,94 kg (p=0,003); Insulintagesddosis –33,32 Einheiten/Tag (p=0,006); Hypoglykämie-Risiko 24% niedriger (RR 0,76; 95% CI 0,66–0,87; p=0,007).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gültig für deutsche Versorgung und DMP-relevante Therapieoptimierung</w:t>
      </w:r>
    </w:p>
    <w:p>
      <w:r>
        <w:rPr>
          <w:color w:val="5A7D3A"/>
          <w:sz w:val="18"/>
        </w:rPr>
        <w:t>https://pubmed.ncbi.nlm.nih.gov/42736042/</w:t>
      </w:r>
    </w:p>
    <w:p>
      <w:pPr>
        <w:pStyle w:val="Heading2"/>
      </w:pPr>
      <w:r>
        <w:t>MASLD bei Typ-2-Diabetes kostet US-Systeme über 11.000 USD pro Patient pro Jahr</w:t>
      </w:r>
    </w:p>
    <w:p>
      <w:r>
        <w:rPr>
          <w:i/>
          <w:color w:val="666666"/>
          <w:sz w:val="18"/>
        </w:rPr>
        <w:t>Tran TH et al.  ·  Diabetes Obes Metab  ·  14.09.2026  ·  PMID 42736030</w:t>
      </w:r>
    </w:p>
    <w:p>
      <w:r>
        <w:t>Retrospektive Kohortenstudie mit US-Krankenkassendate zur Gesundheitsökonomie von diagnostizierter metabolischer Dysfunktion-assoziierter Steatosis hepatis bei 155.172 Patienten mit Typ-2-Diabetes.</w:t>
      </w:r>
    </w:p>
    <w:p>
      <w:r>
        <w:rPr>
          <w:b/>
        </w:rPr>
        <w:t xml:space="preserve">Ergebnis: </w:t>
      </w:r>
      <w:r>
        <w:t>Gesamtkosten mit MASLD 29.734 USD vs. 18.320 USD ohne MASLD; MASLD assoziiert mit 62% höheren Gesamtkosten (adjustierte Kostenquote 1,62; 95% CI 1,58–1,67), entsprechend 11.411 USD mehr pro Patient pro Jahr; erhöhte Inanspruchnahme aller Versorgungsbereiche.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USA-Gesundheitssystem mit anderer Kostenstruktur, kostentechnische Befunde partiell übertragbar auf deutsche Kostenträger</w:t>
      </w:r>
    </w:p>
    <w:p>
      <w:r>
        <w:rPr>
          <w:color w:val="5A7D3A"/>
          <w:sz w:val="18"/>
        </w:rPr>
        <w:t>https://pubmed.ncbi.nlm.nih.gov/42736030/</w:t>
      </w:r>
    </w:p>
    <w:p>
      <w:pPr>
        <w:pStyle w:val="Heading2"/>
      </w:pPr>
      <w:r>
        <w:t>Große Versorgungslücken bei Typ-2-Diabetes-Behandlung in spanischen Zentren</w:t>
      </w:r>
    </w:p>
    <w:p>
      <w:r>
        <w:rPr>
          <w:i/>
          <w:color w:val="666666"/>
          <w:sz w:val="18"/>
        </w:rPr>
        <w:t>Arzuaga A et al.  ·  Prim Care Diabetes  ·  10.08.2026  ·  PMID 42575755</w:t>
      </w:r>
    </w:p>
    <w:p>
      <w:r>
        <w:t>Qualitätsindikatoren für Diabetes-Management in drei spanischen Regionen anhand von 30.111 Patienten mit elektronischen Patientenakten evaluiert.</w:t>
      </w:r>
    </w:p>
    <w:p>
      <w:r>
        <w:rPr>
          <w:b/>
        </w:rPr>
        <w:t xml:space="preserve">Ergebnis: </w:t>
      </w:r>
      <w:r>
        <w:t>Nur 20,4% erhielten regelmäßige HbA1c-Kontrollen alle 6 Monate; 3,9% der Patienten außerhalb des Zielbereichs bekamen vierteljährliche Kontrollen; 60% mit kardiovaskulären oder Nierenerkrankungen erhielten SGLT2i/GLP-1RA, aber nur 15% Kombinationstherapie; Insulininitiierung verzögert sich um median 7,7 Jahre. Benchmarking haltet Mängel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 mit ähnlichen Versicherungsstrukturen, repräsentativ für fragmentierte Versorgung südeuropäischer und deutscher Regionen</w:t>
      </w:r>
    </w:p>
    <w:p>
      <w:r>
        <w:rPr>
          <w:color w:val="5A7D3A"/>
          <w:sz w:val="18"/>
        </w:rPr>
        <w:t>https://pubmed.ncbi.nlm.nih.gov/42575755/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Unteramputation bei Diabetes: 23,5 % Mortalität nach 1 Jahr, keine Verbesserung seit 2012</w:t>
      </w:r>
    </w:p>
    <w:p>
      <w:r>
        <w:rPr>
          <w:i/>
          <w:color w:val="666666"/>
          <w:sz w:val="18"/>
        </w:rPr>
        <w:t>Hennessy C et al.  ·  Diabetes Care  ·  14.09.2026  ·  PMID 42734988</w:t>
      </w:r>
    </w:p>
    <w:p>
      <w:r>
        <w:t>Eine 25-Jahr-Bevölkerungsstudie aus England beschrieb Mortalität und Morbidität nach Unterschenkelamputation bei 25.176 Diabetespatienten mittels verknüpfter Krankenhausdaten.</w:t>
      </w:r>
    </w:p>
    <w:p>
      <w:r>
        <w:rPr>
          <w:b/>
        </w:rPr>
        <w:t xml:space="preserve">Ergebnis: </w:t>
      </w:r>
      <w:r>
        <w:t>Mortalität betrug 23,5 % im 1. Jahr, 60,0 % im 5. Jahr und 82,3 % im 10. Jahr – ohne Verbesserung seit 2012. Unabhängig assoziiert mit erhöhter Mortalität: weibliches Geschlecht (HR 1,06), höheres Alter (HR 1,62), höherer Charlson-Index (HR 1,04 pro Punkt). 90-Tage-Komplikationen: Reoperation (6,24 %), Myokardinfarkt (3,74 %), Readmission (20,25 %); kumulative Kontralateral-Amputation bei 5 Jahren: 6,43 %.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nationale Krankenhausdaten vergleichbar mit deutschem KV-System.</w:t>
      </w:r>
    </w:p>
    <w:p>
      <w:r>
        <w:rPr>
          <w:color w:val="5A7D3A"/>
          <w:sz w:val="18"/>
        </w:rPr>
        <w:t>https://pubmed.ncbi.nlm.nih.gov/42734988/</w:t>
      </w:r>
    </w:p>
    <w:p>
      <w:pPr>
        <w:pStyle w:val="Heading2"/>
      </w:pPr>
      <w:r>
        <w:t>Transition Typ-1-Diabetes: Konsenspapier mit 31 Statements für strukturierte Betreuung</w:t>
      </w:r>
    </w:p>
    <w:p>
      <w:r>
        <w:rPr>
          <w:i/>
          <w:color w:val="666666"/>
          <w:sz w:val="18"/>
        </w:rPr>
        <w:t>de Beaufort C et al.  ·  Diabetologia  ·  14.09.2026  ·  PMID 42734653</w:t>
      </w:r>
    </w:p>
    <w:p>
      <w:r>
        <w:t>Ein internationales Konsenspapier (ISPAD, EASD, ADA) entwickelte evidenzbasierte Empfehlungen zur Betreuung von Jugendlichen und jungen Erwachsenen beim Wechsel von pädiatrischer zu Erwachsenendiabeologie.</w:t>
      </w:r>
    </w:p>
    <w:p>
      <w:r>
        <w:rPr>
          <w:b/>
        </w:rPr>
        <w:t xml:space="preserve">Ergebnis: </w:t>
      </w:r>
      <w:r>
        <w:t>31 Konsens-Statements zum vollen Transitionsprozess (Prä-Transfer, Transfer, Post-Transfer) wurden durch systematische Review + Delphi-Befragung von Fachleuten und Patienten validiert. Evidenz Grade A/B wurde automatisch eingebunden; Grad C/E erfolgte Delphi-Validierung. Der Report enthält keine Zahlen zu Outcomes, sondern Struktur- und Prozessempfehlungen mit dem Ziel, Leitlinien in lokale Praxis zu übersetzen.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Internationales Konsenspaper – Niederlande, Skandinavien, deutschsprachige Länder vertreten.</w:t>
      </w:r>
    </w:p>
    <w:p>
      <w:r>
        <w:rPr>
          <w:color w:val="5A7D3A"/>
          <w:sz w:val="18"/>
        </w:rPr>
        <w:t>https://pubmed.ncbi.nlm.nih.gov/42734653/</w:t>
      </w:r>
    </w:p>
    <w:p>
      <w:pPr>
        <w:pStyle w:val="Heading2"/>
      </w:pPr>
      <w:r>
        <w:t>Beta-Zellfunction bei Prediabetes: ISSI-2 vorhersagekräftiger als HOMA-IR</w:t>
      </w:r>
    </w:p>
    <w:p>
      <w:r>
        <w:rPr>
          <w:i/>
          <w:color w:val="666666"/>
          <w:sz w:val="18"/>
        </w:rPr>
        <w:t>Liu Y et al.  ·  Diabetes Obes Metab  ·  13.09.2026  ·  PMID 42733155</w:t>
      </w:r>
    </w:p>
    <w:p>
      <w:r>
        <w:t>Eine chinesische Prospektivstudie prüfte bei 645 Prediabetespatienten, ob die Insulinsekretion-Sensitivitäts-Index-2 (ISSI-2) aus OGTT-Daten Diabetes-Progression oder -Reversion besser vorhersagt als HOMA-IR.</w:t>
      </w:r>
    </w:p>
    <w:p>
      <w:r>
        <w:rPr>
          <w:b/>
        </w:rPr>
        <w:t xml:space="preserve">Ergebnis: </w:t>
      </w:r>
      <w:r>
        <w:t>Nach 24 Monaten: 136 zur Diabetes progrediert, 61 zu Normoglykämie revertiert (n=410 mit Follow-up). ISSI-2: Jede 1-SD-Steigerung war mit niedrigerem Progressionsrisiko (OR 0,505) und höherem Reversionsrisiko (OR 1,447, beide p&lt;0,001) assoziiert. HOMA-IR weniger konsistent. Dual-Defekt-Gruppe (höher HOMA-IR + niedrig ISSI-2) hatte höchstes Progressionsrisiko (OR 2,764). ISSI-2 erfasst Basalglykämie stärker als HOMA-IR.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große Multicenterstichprobe, Konzept auf deutsche Screening-praxis übertragbar.</w:t>
      </w:r>
    </w:p>
    <w:p>
      <w:r>
        <w:rPr>
          <w:color w:val="5A7D3A"/>
          <w:sz w:val="18"/>
        </w:rPr>
        <w:t>https://pubmed.ncbi.nlm.nih.gov/42733155/</w:t>
      </w:r>
    </w:p>
    <w:p>
      <w:pPr>
        <w:pStyle w:val="Heading2"/>
      </w:pPr>
      <w:r>
        <w:t>Polyneuropathie in Prediabetes: 9,8 % Inzidenz in 24 Monaten</w:t>
      </w:r>
    </w:p>
    <w:p>
      <w:r>
        <w:rPr>
          <w:i/>
          <w:color w:val="666666"/>
          <w:sz w:val="18"/>
        </w:rPr>
        <w:t>Anastasiou G et al.  ·  Diabetes Res Clin Pract  ·  13.08.2026  ·  PMID 42595053</w:t>
      </w:r>
    </w:p>
    <w:p>
      <w:r>
        <w:t>Eine griechische Prospektivstudie untersuchte bei 160 Patienten mit Prediabetes die Inzidenz distaler symmetrischer Polyneuropathie (DSPN) über 24 Monate und identifizierte unabhängige Risikofaktoren.</w:t>
      </w:r>
    </w:p>
    <w:p>
      <w:r>
        <w:rPr>
          <w:b/>
        </w:rPr>
        <w:t xml:space="preserve">Ergebnis: </w:t>
      </w:r>
      <w:r>
        <w:t>Bei 133 DSPN-freien Teilnehmern am Baseline entwickelten 13 (9,8 %) eine DSPN. Unabhängige Prädiktoren waren Alter (OR 1,11 pro Jahr), männliches Geschlecht (OR 1,07), Rauchen (OR 1,17), Taillenumfang (OR 1,04 pro cm), HOMA-IR (OR 1,83) und deren Veränderung (OR 1,46). Die Ergebnisse zeigen, dass Nervenschäden bereits im prädiabeischen Stadium auftreten.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Griechenland, vergleichbares europäisches Versichertensystem.</w:t>
      </w:r>
    </w:p>
    <w:p>
      <w:r>
        <w:rPr>
          <w:color w:val="5A7D3A"/>
          <w:sz w:val="18"/>
        </w:rPr>
        <w:t>https://pubmed.ncbi.nlm.nih.gov/42595053/</w:t>
      </w:r>
    </w:p>
    <w:p>
      <w:pPr>
        <w:pStyle w:val="Heading2"/>
      </w:pPr>
      <w:r>
        <w:t>Diabetesversorgung bei Älteren in Deutschland: Mangel bei modernen Medikamenten</w:t>
      </w:r>
    </w:p>
    <w:p>
      <w:r>
        <w:rPr>
          <w:i/>
          <w:color w:val="666666"/>
          <w:sz w:val="18"/>
        </w:rPr>
        <w:t>Du Y et al.  ·  Diabetes Obes Metab  ·  11.08.2026  ·  PMID 42581634</w:t>
      </w:r>
    </w:p>
    <w:p>
      <w:r>
        <w:t>Eine deutsche Querschnittsstudie (Gesundheit65+) bewertete Versorgungsqualität bei 292 älteren Diabetespatienten (≥66 Jahre) anhand von Leitlinien-Indikatoren und verglich mit früheren Erhebungen.</w:t>
      </w:r>
    </w:p>
    <w:p>
      <w:r>
        <w:rPr>
          <w:b/>
        </w:rPr>
        <w:t xml:space="preserve">Ergebnis: </w:t>
      </w:r>
      <w:r>
        <w:t>90,6 % Nichtraucher, 69,6 % Normalgewicht, 74,2 % Blutdruckkontrolle, 45,5 % sportlich aktiv. Bei Medikation: 73,6 % Antidiabetika (24,3 % Metformin mono, 16,9 % Insulin), 65,7 % Statine, 88,4 % ACE-I/ARB (bei Hypertonie). Moderne Substanzen nur 36,8 % GLP-1-RA/SGLT2i bei kardiovaskulärer Erkrankung; Aspirin 55,4 %. Trend-Analyse (66–79 J.): Insulinrückgang, Verbesserung bei Bewegung, Normalgewicht, Blutdruck und Leitlinien-Medikation.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Robert-Koch-Institut, nationale Untersuchungsdaten.</w:t>
      </w:r>
    </w:p>
    <w:p>
      <w:r>
        <w:rPr>
          <w:color w:val="5A7D3A"/>
          <w:sz w:val="18"/>
        </w:rPr>
        <w:t>https://pubmed.ncbi.nlm.nih.gov/42581634/</w:t>
      </w:r>
    </w:p>
    <w:p>
      <w:pPr>
        <w:pStyle w:val="Heading2"/>
      </w:pPr>
      <w:r>
        <w:t>Typ-2-Diabetes-Prävention: Lebenslauf-Rahmen mit 10 Prioritäten statt Symptom-fokussiert</w:t>
      </w:r>
    </w:p>
    <w:p>
      <w:r>
        <w:rPr>
          <w:i/>
          <w:color w:val="666666"/>
          <w:sz w:val="18"/>
        </w:rPr>
        <w:t>Wang Y et al.  ·  Nat Med  ·  10.08.2026  ·  PMID 42575984</w:t>
      </w:r>
    </w:p>
    <w:p>
      <w:r>
        <w:t>Ein internationales Konsenspapier (22 Experten, darunter deutsche Zentren) entwickelt einen Life-Course-Präventionsrahmen für Typ-2-Diabetes mit Fokus auf Prediabetes-Remission statt nur Progression-Verzögerung.</w:t>
      </w:r>
    </w:p>
    <w:p>
      <w:r>
        <w:rPr>
          <w:b/>
        </w:rPr>
        <w:t xml:space="preserve">Ergebnis: </w:t>
      </w:r>
      <w:r>
        <w:t>Der Bericht beschreibt einen integrierten Life-Course-Risikobau mit kritischen Fenster metabolischer Anfälligkeit und enthält 10 Prioritäten für präventive Intervention. Kernthese: Normoglykämie-Wiederherstellung ist das Ziel, Prediabetes-Remission ein messbarer, erreichbarer Endpunkt; präzise Prävention muss Mechanismen-Heterogenität berücksichtigen und bleibt skalierbar/adaptierbar. Keine Outcome-Zahlen, aber konzeptionelle Rahmengebung für neue 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Tübingen (Helmholtz, Universitätsklinik), Düsseldorf (DDZ) führend – deutsches Gesundheitssystem eingebunden.</w:t>
      </w:r>
    </w:p>
    <w:p>
      <w:r>
        <w:rPr>
          <w:color w:val="5A7D3A"/>
          <w:sz w:val="18"/>
        </w:rPr>
        <w:t>https://pubmed.ncbi.nlm.nih.gov/42575984/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Operationalisierung von Typ-2-Diabetes ändert Phänotyp und Outcome-Assoziation</w:t>
      </w:r>
    </w:p>
    <w:p>
      <w:r>
        <w:rPr>
          <w:i/>
          <w:color w:val="666666"/>
          <w:sz w:val="18"/>
        </w:rPr>
        <w:t>Zhou Y et al.  ·  Diabetes Res Clin Pract  ·  13.09.2026  ·  PMID 42732789</w:t>
      </w:r>
    </w:p>
    <w:p>
      <w:r>
        <w:t>UK-Biobank-Studie mit 501.936 Teilnehmern: Vergleich von fünf alternativen Definitions-Familien für Typ-2-Diabetes und deren Effekt auf Fallzusammensetzung und Mortalitäts-/Morbilitäts-Assoziationen.</w:t>
      </w:r>
    </w:p>
    <w:p>
      <w:r>
        <w:rPr>
          <w:b/>
        </w:rPr>
        <w:t xml:space="preserve">Ergebnis: </w:t>
      </w:r>
      <w:r>
        <w:t>Fallzahlen variierten je Definition (13.873-22.394); Hazard Ratios für MI 3,82 (3,61-4,04) und Demenz 3,79 (3,52-4,09) bei eng definierten Fällen; Einschluss von nicht diagnostiziertem Diabetes reduzierte HRs um 1,2-13,8 %, besonders für Demenz.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UK-System, ähnlich deutsche Routinedokumentation in KVs/Kliniken</w:t>
      </w:r>
    </w:p>
    <w:p>
      <w:r>
        <w:rPr>
          <w:color w:val="5A7D3A"/>
          <w:sz w:val="18"/>
        </w:rPr>
        <w:t>https://pubmed.ncbi.nlm.nih.gov/42732789/</w:t>
      </w:r>
    </w:p>
    <w:p>
      <w:pPr>
        <w:pStyle w:val="Heading2"/>
      </w:pPr>
      <w:r>
        <w:t>Metabolische Faktoren und pulmonale Veränderungen bei Diabetes</w:t>
      </w:r>
    </w:p>
    <w:p>
      <w:r>
        <w:rPr>
          <w:i/>
          <w:color w:val="666666"/>
          <w:sz w:val="18"/>
        </w:rPr>
        <w:t>Li Z et al.  ·  Diabetes Care  ·  01.09.2026  ·  PMID 42623539</w:t>
      </w:r>
    </w:p>
    <w:p>
      <w:r>
        <w:t>Stellungnahme zu Faktoren, die die Verbindung zwischen Diabetes und Lungenfunktionsstörungen modulieren.</w:t>
      </w:r>
    </w:p>
    <w:p>
      <w:r>
        <w:rPr>
          <w:b/>
        </w:rPr>
        <w:t xml:space="preserve">Ergebnis: </w:t>
      </w:r>
      <w:r>
        <w:t>Post-hoc-Analyse zeigt metabolische Marker als unabhängige Prädiktoren pulmonaler Alteration; spezifische Hazard Ratios im Originalmanuskript nicht im Abstract.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Deutschland-Vergleichbarkeit abhängig von Datenquelle, siehe Originalarbeit</w:t>
      </w:r>
    </w:p>
    <w:p>
      <w:r>
        <w:rPr>
          <w:color w:val="5A7D3A"/>
          <w:sz w:val="18"/>
        </w:rPr>
        <w:t>https://pubmed.ncbi.nlm.nih.gov/42623539/</w:t>
      </w:r>
    </w:p>
    <w:p>
      <w:pPr>
        <w:pStyle w:val="Heading2"/>
      </w:pPr>
      <w:r>
        <w:t>DDG-Positionspapier zum Typ-1-Diabetes-Screening</w:t>
      </w:r>
    </w:p>
    <w:p>
      <w:r>
        <w:rPr>
          <w:i/>
          <w:color w:val="666666"/>
          <w:sz w:val="18"/>
        </w:rPr>
        <w:t>Blankenstein O et al.  ·  Exp Clin Endocrinol Diabetes  ·  19.08.2026  ·  PMID 42618003</w:t>
      </w:r>
    </w:p>
    <w:p>
      <w:r>
        <w:t>Stellungnahme der Deutschen Diabetes-Gesellschaft zu Empfehlungen, wer auf Typ-1-Diabetes gescreent werden sollte und wie.</w:t>
      </w:r>
    </w:p>
    <w:p>
      <w:r>
        <w:rPr>
          <w:b/>
        </w:rPr>
        <w:t xml:space="preserve">Ergebnis: </w:t>
      </w:r>
      <w:r>
        <w:t>Empfehlungen basieren auf Expertenkonsens; keine quantitativen Ergebnisse, aber richtungsweisend für die DDG-Standard.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Direkter Fokus auf deutsches Versorgungssystem, DDG-Mitglieder</w:t>
      </w:r>
    </w:p>
    <w:p>
      <w:r>
        <w:rPr>
          <w:color w:val="5A7D3A"/>
          <w:sz w:val="18"/>
        </w:rPr>
        <w:t>https://pubmed.ncbi.nlm.nih.gov/42618003/</w:t>
      </w:r>
    </w:p>
    <w:p>
      <w:pPr>
        <w:pStyle w:val="Heading2"/>
      </w:pPr>
      <w:r>
        <w:t>Semaglutid in Typ-1-Diabetes: Klinisches Stellungnahme-Duo</w:t>
      </w:r>
    </w:p>
    <w:p>
      <w:r>
        <w:rPr>
          <w:i/>
          <w:color w:val="666666"/>
          <w:sz w:val="18"/>
        </w:rPr>
        <w:t>Nauck MA et al.  ·  Lancet Diabetes Endocrinol  ·  17.08.2026  ·  PMID 42607699</w:t>
      </w:r>
    </w:p>
    <w:p>
      <w:r>
        <w:t>Kommentar von Diabetologen zu Sicherheit und Verträglichkeit von Orforglipron, einem GLP-1-Rezeptoragonisten, bei japanischen Patienten mit Typ-2-Diabetes (aus klinischer Studie).</w:t>
      </w:r>
    </w:p>
    <w:p>
      <w:r>
        <w:rPr>
          <w:b/>
        </w:rPr>
        <w:t xml:space="preserve">Ergebnis: </w:t>
      </w:r>
      <w:r>
        <w:t>Keine Outcome-Zahlen im Abstract; redaktionelle Würdigung, keine primären Daten.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Nicht als Originalarbeit, sondern als Fachmeinung</w:t>
      </w:r>
    </w:p>
    <w:p>
      <w:r>
        <w:rPr>
          <w:color w:val="5A7D3A"/>
          <w:sz w:val="18"/>
        </w:rPr>
        <w:t>https://pubmed.ncbi.nlm.nih.gov/42607699/</w:t>
      </w:r>
    </w:p>
    <w:p>
      <w:pPr>
        <w:pStyle w:val="Heading2"/>
      </w:pPr>
      <w:r>
        <w:t>Helicobacter pylori und Insulinresistenz: Assoziation oder Confounder?</w:t>
      </w:r>
    </w:p>
    <w:p>
      <w:r>
        <w:rPr>
          <w:i/>
          <w:color w:val="666666"/>
          <w:sz w:val="18"/>
        </w:rPr>
        <w:t>Singhartinger F et al.  ·  J Clin Endocrinol Metab  ·  17.08.2026  ·  PMID 42605187</w:t>
      </w:r>
    </w:p>
    <w:p>
      <w:r>
        <w:t>Österreichische Cross-sectional-Studie mit 4.681 asymptomatischen Erwachsenen: Helicobacter-pylori-Status per Magenbiopsi vs. Insulinresistenz (HOMA-IR &gt; 2,5), mit rigoroser Confounder-Anpassung und Bayesian-Analyse.</w:t>
      </w:r>
    </w:p>
    <w:p>
      <w:r>
        <w:rPr>
          <w:b/>
        </w:rPr>
        <w:t xml:space="preserve">Ergebnis: </w:t>
      </w:r>
      <w:r>
        <w:t>Rohprävalenz der Insulinresistenz höher bei H. pylori+ (31 % vs. 27 %; p=0,015); nach vollständiger Anpassung verschwand die Assoziation (IRR 1,12, 95% KI 0,95-1,31; p=0,176); Bayesian-Analyse: 87,9 % Wahrscheinlichkeit praktischer Äquivalenz – H. pylori ist ein Marker sozioökonomischer Faktoren, nicht kausal.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mitteleuropäisches Versorgungssystem, vergleichbar mit Deutschland</w:t>
      </w:r>
    </w:p>
    <w:p>
      <w:r>
        <w:rPr>
          <w:color w:val="5A7D3A"/>
          <w:sz w:val="18"/>
        </w:rPr>
        <w:t>https://pubmed.ncbi.nlm.nih.gov/42605187/</w:t>
      </w:r>
    </w:p>
    <w:p>
      <w:pPr>
        <w:pStyle w:val="Heading2"/>
      </w:pPr>
      <w:r>
        <w:t>Genetische Heterogenität: Monogenes Diabetes in Italien deutet auf Land-spezifische Phänotypen</w:t>
      </w:r>
    </w:p>
    <w:p>
      <w:r>
        <w:rPr>
          <w:i/>
          <w:color w:val="666666"/>
          <w:sz w:val="18"/>
        </w:rPr>
        <w:t>Di Paola R et al.  ·  Diabetes Res Clin Pract  ·  14.08.2026  ·  PMID 42600891</w:t>
      </w:r>
    </w:p>
    <w:p>
      <w:r>
        <w:t>Kohortenstudie mit 521 italienischen Patienten mit Verdacht auf monogenes Diabetes: Vergleich der Prävalenz und Charakterisierung pathogener Varianten mit anderen europäischen Ländern.</w:t>
      </w:r>
    </w:p>
    <w:p>
      <w:r>
        <w:rPr>
          <w:b/>
        </w:rPr>
        <w:t xml:space="preserve">Ergebnis: </w:t>
      </w:r>
      <w:r>
        <w:t>Pathogene/wahrscheinlich pathogene Varianten in 127/521 (24,4 %); GCK-Diabetes war mit 54 % der Fall am häufigsten (Unterschied zu UK/Frankreich, wo HNF-Varianten dominieren); MODY-Prädiktor-Kalkulator zeigte schlechtere Diskrimination als im UK entwickelt.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Patientendaten, europäisch vergleichbar, benötigt aber länderspezifische Algorithmen</w:t>
      </w:r>
    </w:p>
    <w:p>
      <w:r>
        <w:rPr>
          <w:color w:val="5A7D3A"/>
          <w:sz w:val="18"/>
        </w:rPr>
        <w:t>https://pubmed.ncbi.nlm.nih.gov/42600891/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Epigenetische Modulation der Ernährungs-Diabetes-Assoziation: DNA-Methylierung stärker als Genetik</w:t>
      </w:r>
    </w:p>
    <w:p>
      <w:r>
        <w:rPr>
          <w:i/>
          <w:color w:val="666666"/>
          <w:sz w:val="18"/>
        </w:rPr>
        <w:t>El-Khoury C et al.  ·  Cardiovasc Diabetol  ·  11.09.2026  ·  PMID 42728572</w:t>
      </w:r>
    </w:p>
    <w:p>
      <w:r>
        <w:t>EPIC-Potsdam-Studie (750 T2D-Fälle) mit 2204 Teilnehmern untersuchte, ob genetische oder epigenetische Faktoren die schützende Wirkung gesunder Ernährung (AHEI-2010, DASH) auf Typ-2-Diabetes modifizieren.</w:t>
      </w:r>
    </w:p>
    <w:p>
      <w:r>
        <w:rPr>
          <w:b/>
        </w:rPr>
        <w:t xml:space="preserve">Ergebnis: </w:t>
      </w:r>
      <w:r>
        <w:t>Höhere Ernährungsqualität schützte vor T2D. Die DNA-Methylierungs-Risk-Score (MRS) modifizierte die Assoziation signifikant für AHEI-2010 (p=0,008) und mediterranes Muster (p&lt;0,0001); dieser Effekt blieb in Sensitivitätsanalysen robust. Ein polygener genetischer Score zeigte keine vergleichbare Interaktion mit Ernährung – die epigenetische Anfälligkeit ist für Prävention relevanter.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prospektive Kohortendaten, strukturiertes DMP-Setting übertragbar</w:t>
      </w:r>
    </w:p>
    <w:p>
      <w:r>
        <w:rPr>
          <w:color w:val="5A7D3A"/>
          <w:sz w:val="18"/>
        </w:rPr>
        <w:t>https://pubmed.ncbi.nlm.nih.gov/42728572/</w:t>
      </w:r>
    </w:p>
    <w:p>
      <w:pPr>
        <w:pStyle w:val="Heading2"/>
      </w:pPr>
      <w:r>
        <w:t>GLP-1-RA bei Typ-1-Diabetes: modest HbA1c-Senkung, aber Übelkeit und Gewichtsverlust</w:t>
      </w:r>
    </w:p>
    <w:p>
      <w:r>
        <w:rPr>
          <w:i/>
          <w:color w:val="666666"/>
          <w:sz w:val="18"/>
        </w:rPr>
        <w:t>Lee O et al.  ·  Diabetes Obes Metab  ·  10.09.2026  ·  PMID 42723273</w:t>
      </w:r>
    </w:p>
    <w:p>
      <w:r>
        <w:t>Overlap-informierte Umbrella-Review (18 Systematische Reviews mit 56 RCTs, insgesamt 35 randomisiert, 21 nicht randomisiert) zu adjuvanten GLP-1-RA neben Insulin bei T1D.</w:t>
      </w:r>
    </w:p>
    <w:p>
      <w:r>
        <w:rPr>
          <w:b/>
        </w:rPr>
        <w:t xml:space="preserve">Ergebnis: </w:t>
      </w:r>
      <w:r>
        <w:t>HbA1c-Reduktion: -0,23 % (95%-KI -0,30 bis -0,17, moderate Sicherheit); Gewichtsabnahme: -3,93 kg (-4,29 bis -3,56, moderat); tägliche Insulindosis: -5,74 IE/Tag (-7,30 bis -4,17, niedrig). Time in Range verbesserte sich nicht (MD +1,99 %, 95%-KI -1,17 bis 5,15, sehr niedrig). Schwere Hypoglykämie: RR 0,83 (0,36–1,91, niedrig). DKA: RR 0,67 (0,16–2,86, niedrig). Übelkeit RR 2,88 (2,20–3,76, hoch), Erbrechen RR 3,11 (1,94–4,97, hoch), Abbruch wegen Nebenwirkungen RR 2,10 (1,42–3,12, hoch).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T1D-spezifisch, in Deutschland nicht im DMP vorgesehen</w:t>
      </w:r>
    </w:p>
    <w:p>
      <w:r>
        <w:rPr>
          <w:color w:val="5A7D3A"/>
          <w:sz w:val="18"/>
        </w:rPr>
        <w:t>https://pubmed.ncbi.nlm.nih.gov/42723273/</w:t>
      </w:r>
    </w:p>
    <w:p>
      <w:pPr>
        <w:pStyle w:val="Heading2"/>
      </w:pPr>
      <w:r>
        <w:t>Fettleber und Pankreasfetteinlagerung gehen mit 7,9-fach erhöhtem Fettleberrisiko einher</w:t>
      </w:r>
    </w:p>
    <w:p>
      <w:r>
        <w:rPr>
          <w:i/>
          <w:color w:val="666666"/>
          <w:sz w:val="18"/>
        </w:rPr>
        <w:t>Du Y et al.  ·  Diabetes Res Clin Pract  ·  10.09.2026  ·  PMID 42722108</w:t>
      </w:r>
    </w:p>
    <w:p>
      <w:r>
        <w:t>Metaanalyse (19 Studien, 6834 Patienten mit Pankreasfettlagerung) zu Prävalenz von Fettleber und Diabetes bei Pankreasfettlagerungsstörung (FPD).</w:t>
      </w:r>
    </w:p>
    <w:p>
      <w:r>
        <w:rPr>
          <w:b/>
        </w:rPr>
        <w:t xml:space="preserve">Ergebnis: </w:t>
      </w:r>
      <w:r>
        <w:t>Pooled Fettleber-Prävalenz: 59,0 % (95%-KI 51,1–66,6); Diabetes-Prävalenz: 20,6 % (95%-KI 15,0–26,8). MRI/MRS-Studien berichten höhere Raten (76,5 % Fettleber, 27,7 % Diabetes). FPD assoziiert mit signifikant höheren Odds für Fettleber (OR 7,87, 95%-KI 5,09–12,17) und Diabetes (OR 3,19, 95%-KI 2,11–4,82). Gewichtsverlust bleibt zentrale 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Daten, China-dominiert, Screening-Algorithmen Deutschland-angepasst machbar</w:t>
      </w:r>
    </w:p>
    <w:p>
      <w:r>
        <w:rPr>
          <w:color w:val="5A7D3A"/>
          <w:sz w:val="18"/>
        </w:rPr>
        <w:t>https://pubmed.ncbi.nlm.nih.gov/42722108/</w:t>
      </w:r>
    </w:p>
    <w:p>
      <w:pPr>
        <w:pStyle w:val="Heading2"/>
      </w:pPr>
      <w:r>
        <w:t>Präoperative stationäre Glukosekontrolle senkt Wundinfektion bei Diabetes um 38 %</w:t>
      </w:r>
    </w:p>
    <w:p>
      <w:r>
        <w:rPr>
          <w:i/>
          <w:color w:val="666666"/>
          <w:sz w:val="18"/>
        </w:rPr>
        <w:t>Horikiri Y et al.  ·  J Diabetes Investig  ·  10.09.2026  ·  PMID 42720397</w:t>
      </w:r>
    </w:p>
    <w:p>
      <w:r>
        <w:t>Japanische retrospektive Studie (n=1086, vier Zentren) mit diabetologischem Management: 349 präoperativ stationär optimiert, 702 ambulant, 35 nur postoperativ betreut – Follow-up der chirurgischen Infekte.</w:t>
      </w:r>
    </w:p>
    <w:p>
      <w:r>
        <w:rPr>
          <w:b/>
        </w:rPr>
        <w:t xml:space="preserve">Ergebnis: </w:t>
      </w:r>
      <w:r>
        <w:t>Infektionsrate (SSI): 7,2 % (stationär) vs. 11,1 % (ambulant) vs. 20,0 % (nur postoperativ); p=0,020. Adjustiertes OR für stationäre Optimierung: 0,62 (95%-KI 0,39–0,99, p=0,044). Postoperativer Tag-1-Nüchternblutzucker zeigte stärkere Assoziation mit SSI als präoperativer Wert, aber Blutglukose am OP-Tag blieb klinisch informativ.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Klinik-Daten, deutsches Klinik-Setting bedingt übertragbar</w:t>
      </w:r>
    </w:p>
    <w:p>
      <w:r>
        <w:rPr>
          <w:color w:val="5A7D3A"/>
          <w:sz w:val="18"/>
        </w:rPr>
        <w:t>https://pubmed.ncbi.nlm.nih.gov/42720397/</w:t>
      </w:r>
    </w:p>
    <w:p>
      <w:pPr>
        <w:pStyle w:val="Heading2"/>
      </w:pPr>
      <w:r>
        <w:t>CFTR-Modulatoren verbessern Glukosekontrolle bei zystischer Fibrose ohne Hyporisiko</w:t>
      </w:r>
    </w:p>
    <w:p>
      <w:r>
        <w:rPr>
          <w:i/>
          <w:color w:val="666666"/>
          <w:sz w:val="18"/>
        </w:rPr>
        <w:t>Galderisi A et al.  ·  J Clin Endocrinol Metab  ·  31.08.2026  ·  PMID 42671070</w:t>
      </w:r>
    </w:p>
    <w:p>
      <w:r>
        <w:t>Französische MODUL-CF-Studie mit 98 CF-Patienten (Alter 2–18 Jahre) untersuchte kontinuierliche Glukosemessungen vor und 12 Monate nach Start von Elexacaftor/Tezacaftor/Ivacaftor (ETI).</w:t>
      </w:r>
    </w:p>
    <w:p>
      <w:r>
        <w:rPr>
          <w:b/>
        </w:rPr>
        <w:t xml:space="preserve">Ergebnis: </w:t>
      </w:r>
      <w:r>
        <w:t>Time in Tight Range (TITR 70–180 mg/dL) stieg von 89,8 % auf 91,6 % (p=0,004); Hyperglykämie &gt;140 mg/dL sank um 0,4 %. Variabilität sank (CV 21,5 % → 19,6 %, p&lt;0,001). Keine DKA oder schwere Hypoglykämie. Gewichtszunahme und Lungenfunktion besser bei Baseline-Hyperglykämie ≤10 %.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 Kinderkliniken, seltenes Spezial-Setting</w:t>
      </w:r>
    </w:p>
    <w:p>
      <w:r>
        <w:rPr>
          <w:color w:val="5A7D3A"/>
          <w:sz w:val="18"/>
        </w:rPr>
        <w:t>https://pubmed.ncbi.nlm.nih.gov/42671070/</w:t>
      </w:r>
    </w:p>
    <w:p>
      <w:pPr>
        <w:pStyle w:val="Heading2"/>
      </w:pPr>
      <w:r>
        <w:t>Hypokaliämie und Neu-Diabetes bei Herzinsuffizienz: Mechanismus unklar</w:t>
      </w:r>
    </w:p>
    <w:p>
      <w:r>
        <w:rPr>
          <w:i/>
          <w:color w:val="666666"/>
          <w:sz w:val="18"/>
        </w:rPr>
        <w:t>Ostrominski JW et al.  ·  Diabetes Care  ·  28.08.2026  ·  PMID 42663524</w:t>
      </w:r>
    </w:p>
    <w:p>
      <w:r>
        <w:t>Sekundäranalyse eines randomisierten Studienprogramms (n=4681, USA/Europa/Asien) zu Hypokaliämie und neuem Diabetes bei Herzinsuffizienz mit reduzierter oder erhaltener Ejektionsfraktion – nur Abstract-Kopfzeile verfügbar.</w:t>
      </w:r>
    </w:p>
    <w:p>
      <w:r>
        <w:rPr>
          <w:b/>
        </w:rPr>
        <w:t xml:space="preserve">Ergebnis: </w:t>
      </w:r>
      <w:r>
        <w:t>Konkrete Ergebnisse nicht im Abstract berichtet. Titel signalisiert Assoziation, Daten fehlen.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Daten, USA-dominiert, Mechanismus unklar</w:t>
      </w:r>
    </w:p>
    <w:p>
      <w:r>
        <w:rPr>
          <w:color w:val="5A7D3A"/>
          <w:sz w:val="18"/>
        </w:rPr>
        <w:t>https://pubmed.ncbi.nlm.nih.gov/42663524/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CVD-Risikogleichungen für Diabetes: Alterskoeffizient unterscheidet Hocheinkommens- von Ländern mit niedrigerem Einkommen</w:t>
      </w:r>
    </w:p>
    <w:p>
      <w:r>
        <w:rPr>
          <w:i/>
          <w:color w:val="666666"/>
          <w:sz w:val="18"/>
        </w:rPr>
        <w:t>Liang J et al.  ·  BMJ  ·  11.09.2026  ·  PMID 42727977</w:t>
      </w:r>
    </w:p>
    <w:p>
      <w:r>
        <w:t>Kohortenstudie mit Datensätzen aus Neuseeland und China (2004–2018); Vergleich der Generalisierbarkeit von Kardiovaskulär-Risikoprädiktoren in Hocheinkommens- versus Nicht-Hocheinkommensländern bei 47.958 Neuseeländern und 46.558 Chinesen mit Diabetes und ohne CVD in der Vorgeschichte.</w:t>
      </w:r>
    </w:p>
    <w:p>
      <w:r>
        <w:rPr>
          <w:b/>
        </w:rPr>
        <w:t xml:space="preserve">Ergebnis: </w:t>
      </w:r>
      <w:r>
        <w:t>Neuseeland: 5.622 CVD-Ereignisse (11,7%), China: 3.650 (7,8%). Hazard Ratio für Alter pro 10 Jahre: Frauen Neuseeland 1,61 (95% CI 1,51–1,71), China 2,51 (2,32–2,72). Standard-Rekalibrierung verbesserte Kalibrierung in China nicht (E/O-Ratio: 0,938–0,809), Austausch von Alterskoeffizienten jedoch ja (1,027–1,025).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Länderübergreifende Methodik, zeigt Limitationen für Deutschland bei Verwendung internationaler Gleichungen.</w:t>
      </w:r>
    </w:p>
    <w:p>
      <w:r>
        <w:rPr>
          <w:color w:val="5A7D3A"/>
          <w:sz w:val="18"/>
        </w:rPr>
        <w:t>https://pubmed.ncbi.nlm.nih.gov/42727977/</w:t>
      </w:r>
    </w:p>
    <w:p>
      <w:pPr>
        <w:pStyle w:val="Heading2"/>
      </w:pPr>
      <w:r>
        <w:t>Nichtmedikamentöse Interventionen verbessern HbA1c um 0,43%-Punkte und Blutdruck messbar</w:t>
      </w:r>
    </w:p>
    <w:p>
      <w:r>
        <w:rPr>
          <w:i/>
          <w:color w:val="666666"/>
          <w:sz w:val="18"/>
        </w:rPr>
        <w:t>My TT et al.  ·  Diabetes Res Clin Pract  ·  11.09.2026  ·  PMID 42727859</w:t>
      </w:r>
    </w:p>
    <w:p>
      <w:r>
        <w:t>Systematische Übersicht und Metaanalyse von 42 RCTs mit 9.586 Teilnehmern zu Effektivität nichtmedikamentöser Interventionen (psychoedukativ, verhaltenstherapeutisch, Geräte, Telemed) auf Stoffwechselkontrolle bei Typ-2-Diabetes (Primärendpunkt: mindestens 3 Komponenten des metabolischen Syndroms).</w:t>
      </w:r>
    </w:p>
    <w:p>
      <w:r>
        <w:rPr>
          <w:b/>
        </w:rPr>
        <w:t xml:space="preserve">Ergebnis: </w:t>
      </w:r>
      <w:r>
        <w:t>HbA1c MD −0,43 Prozentpunkte (95% CI −0,55 bis −0,32), Nüchternglukose MD −0,57 mmol/L (95% CI −0,83 bis −0,32), Taillenumfang MD −2,25 cm (95% CI −3,32 bis −1,19), systolischer Blutdruck MD −1,66 mmHg (95% CI −2,98 bis −0,34), diastolischer Blutdruck MD −0,93 mmHg (95% CI −1,56 bis −0,30). Triglyceride und HDL nicht signifikant reduziert.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Evidenz, aber mit großer Heterogenität und Vorsicht vor Small-Study-Effekten geboten.</w:t>
      </w:r>
    </w:p>
    <w:p>
      <w:r>
        <w:rPr>
          <w:color w:val="5A7D3A"/>
          <w:sz w:val="18"/>
        </w:rPr>
        <w:t>https://pubmed.ncbi.nlm.nih.gov/42727859/</w:t>
      </w:r>
    </w:p>
    <w:p>
      <w:pPr>
        <w:pStyle w:val="Heading2"/>
      </w:pPr>
      <w:r>
        <w:t>Psychologische und Gerätetherapien reduzieren Diabetes Distress messbar – Metaanalyse von 248 RCTs</w:t>
      </w:r>
    </w:p>
    <w:p>
      <w:r>
        <w:rPr>
          <w:i/>
          <w:color w:val="666666"/>
          <w:sz w:val="18"/>
        </w:rPr>
        <w:t>Schipper SBJ et al.  ·  Diabetologia  ·  11.09.2026  ·  PMID 42726276</w:t>
      </w:r>
    </w:p>
    <w:p>
      <w:r>
        <w:t>Systematische Übersicht und Metaanalyse von 248 randomisierten kontrollierten Studien mit insgesamt 55.497 Teilnehmern zur Wirksamkeit von Interventionen zur Reduktion von Diabetes Distress (emotionale Belastung durch Diabetes-Management) bei Erwachsenen mit Typ-1- oder Typ-2-Diabetes.</w:t>
      </w:r>
    </w:p>
    <w:p>
      <w:r>
        <w:rPr>
          <w:b/>
        </w:rPr>
        <w:t xml:space="preserve">Ergebnis: </w:t>
      </w:r>
      <w:r>
        <w:t>Psychologische Interventionen reduzierten Diabetes Distress bei Typ-1-Diabetes (SMD −0,22, 95% CI −0,35 bis −0,08; 16 Studien, GRADE low) und Typ-2-Diabetes (SMD −0,31, 95% CI −0,50 bis −0,13; 21 Studien, GRADE very low). CGM reduzierte Distress bei Typ-1-Diabetes (SMD −0,26, 95% CI −0,41 bis −0,11; 6 Studien, GRADE moderate). Edukative Interventionen reduzierten Distress bei Typ-2-Diabetes (SMD −0,34, 95% CI −0,56 bis −0,11; 3 Studien, GRADE low). Andere Interventionen zeigten keine signifikanten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EASD-Leitlinie mit europäischen Koautoren, psychologische Interventionen praxisrelevant.</w:t>
      </w:r>
    </w:p>
    <w:p>
      <w:r>
        <w:rPr>
          <w:color w:val="5A7D3A"/>
          <w:sz w:val="18"/>
        </w:rPr>
        <w:t>https://pubmed.ncbi.nlm.nih.gov/42726276/</w:t>
      </w:r>
    </w:p>
    <w:p>
      <w:pPr>
        <w:pStyle w:val="Heading2"/>
      </w:pPr>
      <w:r>
        <w:t>Anhaltende Alkoholreduktion verbessert Glukose, Blutdruck und Triglyceride über 15 Jahre</w:t>
      </w:r>
    </w:p>
    <w:p>
      <w:r>
        <w:rPr>
          <w:i/>
          <w:color w:val="666666"/>
          <w:sz w:val="18"/>
        </w:rPr>
        <w:t>Ichikawa T et al.  ·  Diabetes Obes Metab  ·  09.09.2026  ·  PMID 42717548</w:t>
      </w:r>
    </w:p>
    <w:p>
      <w:r>
        <w:t>Target-Trial-Emulation mit Daten aus jährlichen Gesundheitsuntersuchungen japanischer Arbeitnehmer (2008–2023); Vergleich von 30.280 Personen mit Alkoholreduktion (≥20 g/Tag auf &lt;20 g/Tag) gegenüber 229.946 Kontrollpersonen mit ≥20 g/Tag Baseline-Konsum über 15 Jahre Nachbeobachtung.</w:t>
      </w:r>
    </w:p>
    <w:p>
      <w:r>
        <w:rPr>
          <w:b/>
        </w:rPr>
        <w:t xml:space="preserve">Ergebnis: </w:t>
      </w:r>
      <w:r>
        <w:t>Alkoholreduktion assoziiert mit persistiert niedrigerer Nüchternglukose (−1,8 mg/dL bei Jahr 15, p≤0,005), systolischem Blutdruck (−3,4 mmHg, p≤0,005), diastolischem Blutdruck (−2,2 mmHg, p≤0,005) und Triglyceride (−20,4 mg/dL, p≤0,005). HDL-Cholesterin konsistent niedriger, LDL-Cholesterin moderat höher in der Interventionsgruppe.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betriebliche Gesundheitsdaten; Lebensstiländerung übertragbar auf deutsche Beratungspraxis.</w:t>
      </w:r>
    </w:p>
    <w:p>
      <w:r>
        <w:rPr>
          <w:color w:val="5A7D3A"/>
          <w:sz w:val="18"/>
        </w:rPr>
        <w:t>https://pubmed.ncbi.nlm.nih.gov/42717548/</w:t>
      </w:r>
    </w:p>
    <w:p>
      <w:pPr>
        <w:pStyle w:val="Heading2"/>
      </w:pPr>
      <w:r>
        <w:t>SGLT2-Inhibitoren senken Sterblichkeit, Krankenhauseinweisung und Multimorbidität deutlich</w:t>
      </w:r>
    </w:p>
    <w:p>
      <w:r>
        <w:rPr>
          <w:i/>
          <w:color w:val="666666"/>
          <w:sz w:val="18"/>
        </w:rPr>
        <w:t>Wang J et al.  ·  Eur J Endocrinol  ·  28.08.2026  ·  PMID 42612181</w:t>
      </w:r>
    </w:p>
    <w:p>
      <w:r>
        <w:t>Vergleichende Effektivitätsstudie mit Daten aus englischen Primär- und Sekundärversorgung (2012–2023) an 364.522 Erwachsenen mit Typ-2-Diabetes, die SGLT2-Inhibitoren oder DPP-4-Inhibitoren neu ansetzten; Endpunkte waren Sterblichkeit, Krankenhausaufnahmen und 59 Langzeiterkrankungen.</w:t>
      </w:r>
    </w:p>
    <w:p>
      <w:r>
        <w:rPr>
          <w:b/>
        </w:rPr>
        <w:t xml:space="preserve">Ergebnis: </w:t>
      </w:r>
      <w:r>
        <w:t>SGLT2-Inhibitoren gegenüber DPP-4-Inhibitoren: Gesamtsterblichkeit aHR 0,73 (95% CI 0,71–0,75), erste Krankenhausaufnahme aHR 0,86 (95% CI 0,85–0,87), Anzahl Hospitalisierungen aMD −0,36 (95% CI −0,38 bis −0,34; alle p&lt;0,001). 28 Erkrankungen mit reduziertem Risiko (Demenz, Krebs, Lebererkrankung, diabetisches Fußulkus, Epilepsie, Rheumatoide Arthritis), 4 mit erhöhtem Risiko (Candidose, DKA).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Englisches NHS-System, übertragbar auf deutsche GKV-Strukturen und DMP.</w:t>
      </w:r>
    </w:p>
    <w:p>
      <w:r>
        <w:rPr>
          <w:color w:val="5A7D3A"/>
          <w:sz w:val="18"/>
        </w:rPr>
        <w:t>https://pubmed.ncbi.nlm.nih.gov/42612181/</w:t>
      </w:r>
    </w:p>
    <w:p>
      <w:pPr>
        <w:pStyle w:val="Heading2"/>
      </w:pPr>
      <w:r>
        <w:t>Hohe Blutdruckwerte und Glukosespiegel 10 Jahre vor Demenzdiagnose erhöhen Risiko bei Typ-2-Diabetes</w:t>
      </w:r>
    </w:p>
    <w:p>
      <w:r>
        <w:rPr>
          <w:i/>
          <w:color w:val="666666"/>
          <w:sz w:val="18"/>
        </w:rPr>
        <w:t>Lai HT et al.  ·  BMJ Open Diabetes Res Care  ·  17.08.2026  ·  PMID 42608136</w:t>
      </w:r>
    </w:p>
    <w:p>
      <w:r>
        <w:t>Retrospektive Kohortenstudie mit 249.958 Erwachsenen mit Typ-2-Diabetes aus England (1999–2018); Untersuchung der Assoziation von 8 kardiometabolischen Markern mit Demenzrisiko, stratifiziert nach Messzeitpunkt (5, 5–10, ≥10 Jahre vor Diagnose).</w:t>
      </w:r>
    </w:p>
    <w:p>
      <w:r>
        <w:rPr>
          <w:b/>
        </w:rPr>
        <w:t xml:space="preserve">Ergebnis: </w:t>
      </w:r>
      <w:r>
        <w:t>22.492 Demenzfälle (1.257.998 Personenjahre). Diastolischer Blutdruck (90 vs. 80 mmHg): 21% höheres Demenzrisiko (95% CI 15–27%). BMI ≥30 kg/m² gemessen ≥10 Jahre vor Diagnose: 43% höheres Risiko (31–56%), gemessen &lt;5 Jahre vor Diagnose: 32% niedrigeres Risiko (27–36%). Höhere Glukose konsistent mit erhöhtem 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Primärversorgungsdaten, ähnliche Dokumentationspflichten wie Deutsche KHSystems.</w:t>
      </w:r>
    </w:p>
    <w:p>
      <w:r>
        <w:rPr>
          <w:color w:val="5A7D3A"/>
          <w:sz w:val="18"/>
        </w:rPr>
        <w:t>https://pubmed.ncbi.nlm.nih.gov/42608136/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MASLD bei Typ-2-Diabetes: zentrale Adiposität, nicht Alter, bestimmt Steatose</w:t>
      </w:r>
    </w:p>
    <w:p>
      <w:r>
        <w:rPr>
          <w:i/>
          <w:color w:val="666666"/>
          <w:sz w:val="18"/>
        </w:rPr>
        <w:t>Corrao S et al.  ·  Acta Diabetol  ·  10.09.2026  ·  PMID 42720787</w:t>
      </w:r>
    </w:p>
    <w:p>
      <w:r>
        <w:t>Eine italienische Querschnittsstudie mit 219 Typ-2-Diabetes-Patienten untersuchte Prävalenz und Determinanten von metabolisch-assoziierter Steatose und Fibrose mittels Elastografie.</w:t>
      </w:r>
    </w:p>
    <w:p>
      <w:r>
        <w:rPr>
          <w:b/>
        </w:rPr>
        <w:t xml:space="preserve">Ergebnis: </w:t>
      </w:r>
      <w:r>
        <w:t>MASLD-Prävalenz: 75,3 %; schwere Steatose (S3): 11,9 %; Fibrose (F≥2): 7,3 %. Männliches Geschlecht (OR 2,49) und Taillenumfang (OR 1,04 pro cm) waren unabhängig mit MASLD assoziiert. MASLD-Prävalenz stieg über Taillenumfang-Quartile (Trend p=0,001), Fibrosis zeigte keine Assoziation mit Adiposität (p=0,65). HbA1c und Diabetesdauer waren nicht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EU-Versorgung; adipositas-fokussiertes Hepatitis-Screening könnte in deutschen DMP integriert werden.</w:t>
      </w:r>
    </w:p>
    <w:p>
      <w:r>
        <w:rPr>
          <w:color w:val="5A7D3A"/>
          <w:sz w:val="18"/>
        </w:rPr>
        <w:t>https://pubmed.ncbi.nlm.nih.gov/42720787/</w:t>
      </w:r>
    </w:p>
    <w:p>
      <w:pPr>
        <w:pStyle w:val="Heading2"/>
      </w:pPr>
      <w:r>
        <w:t>Islet-Autoantikörper-Screening verhindert Ketoazidose bei Typ-1-Diabetes</w:t>
      </w:r>
    </w:p>
    <w:p>
      <w:r>
        <w:rPr>
          <w:i/>
          <w:color w:val="666666"/>
          <w:sz w:val="18"/>
        </w:rPr>
        <w:t>Ziegler AG et al.  ·  Diabetologia  ·  10.09.2026  ·  PMID 42720753</w:t>
      </w:r>
    </w:p>
    <w:p>
      <w:r>
        <w:t>Internationale Konsensusrichtlinien empfehlen ein Screening auf Inselzellantikörper in der Allgemeinbevölkerung, um Typ-1-Diabetes in frühen Stadien zu erkennen, bevor die klinische Diagnose mit schwerem Stoffwechselentgleisung auftritt.</w:t>
      </w:r>
    </w:p>
    <w:p>
      <w:r>
        <w:rPr>
          <w:b/>
        </w:rPr>
        <w:t xml:space="preserve">Ergebnis: </w:t>
      </w:r>
      <w:r>
        <w:t>Zwischen 20 und 67 % der Kinder mit Typ-1-Diabetes präsentieren sich bei klinischer Diagnose mit Ketoazidose (in einem Drittel mit intensivpflichtigen Verläufen). Früherkennung durch Antikörper ermöglicht die Prävention von Ketoazidose und milderere klinische Manifestation mit ausstätiger Insulineinleitung.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in Deutschland noch nicht implementiert – erfordert Screeningstruktur.</w:t>
      </w:r>
    </w:p>
    <w:p>
      <w:r>
        <w:rPr>
          <w:color w:val="5A7D3A"/>
          <w:sz w:val="18"/>
        </w:rPr>
        <w:t>https://pubmed.ncbi.nlm.nih.gov/42720753/</w:t>
      </w:r>
    </w:p>
    <w:p>
      <w:pPr>
        <w:pStyle w:val="Heading2"/>
      </w:pPr>
      <w:r>
        <w:t>Teplizumab konserviert Beta-Zell-Funktion im frühen Typ-1-Diabetes</w:t>
      </w:r>
    </w:p>
    <w:p>
      <w:r>
        <w:rPr>
          <w:i/>
          <w:color w:val="666666"/>
          <w:sz w:val="18"/>
        </w:rPr>
        <w:t>Herold KC et al.  ·  Diabetologia  ·  10.09.2026  ·  PMID 42720752</w:t>
      </w:r>
    </w:p>
    <w:p>
      <w:r>
        <w:t>Eine randomisierte klinische Studie untersuchte, ob die anti-CD3-Monoklonantiköper-Therapie Teplizumab Beta-Zellen vor Zerstörung bewahrt und die Insulinbehandlung reduziert.</w:t>
      </w:r>
    </w:p>
    <w:p>
      <w:r>
        <w:rPr>
          <w:b/>
        </w:rPr>
        <w:t xml:space="preserve">Ergebnis: </w:t>
      </w:r>
      <w:r>
        <w:t>Bei 275 Kindern zeigte Teplizumab signifikant höhere C-Peptid-Werte (0,14 nmol/l Unterschied, p&lt;0,001), Insulindosisreduktion um 0,17 U/kg/Tag und 6,17 % mehr Time in Range gegenüber Placebo bei Woche 78. Die Effekte waren unabhängig vom HLA-Subtyp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Praxisverändernd – FDA-zugelassene Therapie, aber nicht in Deutschland erstattet; könnte zentrale diabetologische Praxen erreichen.</w:t>
      </w:r>
    </w:p>
    <w:p>
      <w:r>
        <w:rPr>
          <w:color w:val="5A7D3A"/>
          <w:sz w:val="18"/>
        </w:rPr>
        <w:t>https://pubmed.ncbi.nlm.nih.gov/42720752/</w:t>
      </w:r>
    </w:p>
    <w:p>
      <w:pPr>
        <w:pStyle w:val="Heading2"/>
      </w:pPr>
      <w:r>
        <w:t>Thalamische Bioenergien-Störung bei schmerzhaftem diabetischen Polyneuropathie-Syndrom</w:t>
      </w:r>
    </w:p>
    <w:p>
      <w:r>
        <w:rPr>
          <w:i/>
          <w:color w:val="666666"/>
          <w:sz w:val="18"/>
        </w:rPr>
        <w:t>Sloan G et al.  ·  Diabetologia  ·  10.09.2026  ·  PMID 42720751</w:t>
      </w:r>
    </w:p>
    <w:p>
      <w:r>
        <w:t>Eine britische MR-Spektroskopie-Studie verglich Hirnstoffwechsel bei schmerzhaften und schmerzlosen Neuropathien, um Mechanismen der Neuropathie-Schmerzentwicklung zu klären.</w:t>
      </w:r>
    </w:p>
    <w:p>
      <w:r>
        <w:rPr>
          <w:b/>
        </w:rPr>
        <w:t xml:space="preserve">Ergebnis: </w:t>
      </w:r>
      <w:r>
        <w:t>Bei 49 Teilnehmern (38 mit T2DM, davon 18 mit schmerzhafter DPN, 11 schmerzlos) zeigte sich bei schmerzhafter DPN höheres NAA:Cholin-Verhältnis (neuronal Function) und signifikant niedrigeres Pi:ATP-Verhältnis (Bioenergien, p&lt;0,05). Schmerzintensität korrelierte mit thalamischem Pi:ATP. Diese Marker könnten objektive neuropathische Schmerzbiomarker für klinische Studien liefern.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Klinikdaten – Mechanismus-Forschung könnte zu neuen DPN-Wirkstoffen führen; noch nicht patientennah implementierbar.</w:t>
      </w:r>
    </w:p>
    <w:p>
      <w:r>
        <w:rPr>
          <w:color w:val="5A7D3A"/>
          <w:sz w:val="18"/>
        </w:rPr>
        <w:t>https://pubmed.ncbi.nlm.nih.gov/42720751/</w:t>
      </w:r>
    </w:p>
    <w:p>
      <w:pPr>
        <w:pStyle w:val="Heading2"/>
      </w:pPr>
      <w:r>
        <w:t>Diabetes-Risikomodelle bedürfen Kalibrierung für Afrika und Europa</w:t>
      </w:r>
    </w:p>
    <w:p>
      <w:r>
        <w:rPr>
          <w:i/>
          <w:color w:val="666666"/>
          <w:sz w:val="18"/>
        </w:rPr>
        <w:t>Smidt MF et al.  ·  Diabetes Obes Metab  ·  01.09.2026  ·  PMID 42681823</w:t>
      </w:r>
    </w:p>
    <w:p>
      <w:r>
        <w:t>Externe Validierung etablierter Diabetes-Präventionsmodelle (u. a. Finnisches Risiko-Modell) in afrikanischen und europäischen Kohorten zeigte, dass alle Modelle schlecht diskriminieren und Risiken unterschätzen.</w:t>
      </w:r>
    </w:p>
    <w:p>
      <w:r>
        <w:rPr>
          <w:b/>
        </w:rPr>
        <w:t xml:space="preserve">Ergebnis: </w:t>
      </w:r>
      <w:r>
        <w:t>Alle fünf getesteten Modelle zeigten schwache Diskrimination (c-Statistic &lt;0,70) und systematische Risikounterschätzung. Nach lokaler Rekalibrierung wurden Kalibrierungsfehler auf ≤2,3 % (RODAM, VIP) bzw. ≤3,4 % (MASC) reduziert. Dysglykämie-Inzidenz variierte stark: 17,7 % (RODAM), 35,0 % (MASC), 27,5 % (VIP).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Kohorten (Schweden, Niederlande); zeigt Grenze globaler Modelle – lokale Anpassung notwendig.</w:t>
      </w:r>
    </w:p>
    <w:p>
      <w:r>
        <w:rPr>
          <w:color w:val="5A7D3A"/>
          <w:sz w:val="18"/>
        </w:rPr>
        <w:t>https://pubmed.ncbi.nlm.nih.gov/42681823/</w:t>
      </w:r>
    </w:p>
    <w:p>
      <w:pPr>
        <w:pStyle w:val="Heading2"/>
      </w:pPr>
      <w:r>
        <w:t>Mütterliches Alter und BMI erhöhen Gestationsdiabetes-Risiko unabhängig</w:t>
      </w:r>
    </w:p>
    <w:p>
      <w:r>
        <w:rPr>
          <w:i/>
          <w:color w:val="666666"/>
          <w:sz w:val="18"/>
        </w:rPr>
        <w:t>Zanardo V et al.  ·  Diabetes Res Clin Pract  ·  22.08.2026  ·  PMID 42632458</w:t>
      </w:r>
    </w:p>
    <w:p>
      <w:r>
        <w:t>Eine italienische Kohorte mit niedriger Parität und verzögerter Fertilität untersuchte unabhängige und kombinierte Effekte dieser Faktoren auf das Gestationsdiabetes-Risiko.</w:t>
      </w:r>
    </w:p>
    <w:p>
      <w:r>
        <w:rPr>
          <w:b/>
        </w:rPr>
        <w:t xml:space="preserve">Ergebnis: </w:t>
      </w:r>
      <w:r>
        <w:t>Von 2.560 Frauen mit später/niedriger Fertilität entwickelten 231 (9,9 %) Gestationsdiabetes. GDM-Prävalenz stieg mit Alter: 36 Jahre (median) bei GDM vs. 33 Jahre bei Kontrollen (p&lt;0,001) und erreichte 16,1 % nach 40 Jahren. BMI bei Geburt war unabhängig assoziiert (27,9 vs. 26,8 kg/m², p&lt;0,05). Keine Alters-Parität-Interaktion.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 (Italien), vergleichbare Sozialversicherung – übertragbar auf Deutsche Schwangerenvorsorge.</w:t>
      </w:r>
    </w:p>
    <w:p>
      <w:r>
        <w:rPr>
          <w:color w:val="5A7D3A"/>
          <w:sz w:val="18"/>
        </w:rPr>
        <w:t>https://pubmed.ncbi.nlm.nih.gov/42632458/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Einjährige Progression von Prädiabetes zu Typ-2-Diabetes in türkischer Primärversorgung: 5,9%</w:t>
      </w:r>
    </w:p>
    <w:p>
      <w:r>
        <w:rPr>
          <w:i/>
          <w:color w:val="666666"/>
          <w:sz w:val="18"/>
        </w:rPr>
        <w:t>Tapur AS et al.  ·  Prim Care Diabetes  ·  09.09.2026  ·  PMID 42716862</w:t>
      </w:r>
    </w:p>
    <w:p>
      <w:r>
        <w:t>Prospektive Kohortenstudie in der Türkei zu Prädiabetes-Fortschreitung (n=152, Follow-up 1 Jahr) mit Charakterisierung von Progressoren und Nicht-Progressoren.</w:t>
      </w:r>
    </w:p>
    <w:p>
      <w:r>
        <w:rPr>
          <w:b/>
        </w:rPr>
        <w:t xml:space="preserve">Ergebnis: </w:t>
      </w:r>
      <w:r>
        <w:t>Progressionsrate 5,9% (95%-KI 2,7–10,9%, 9 Fälle). Alle 9 Fälle traten bei kombinierter Nüchtern-Glukose- und Glukosetoleranzstörung auf. Progressoren hatten höher BMI, Taillenumfang, Nüchternglukose, HbA1c und 2-h-Glukose. 2-h-Glukose zeigte stärkste Trennung; alle Befunde aufgrund niedriger Fallzahl unvalidiert und hypothesengenerierend.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Primärversorgung Türkei; Transferierbarkeit limitiert (kleine Fallzahl, keine Validierung)</w:t>
      </w:r>
    </w:p>
    <w:p>
      <w:r>
        <w:rPr>
          <w:color w:val="5A7D3A"/>
          <w:sz w:val="18"/>
        </w:rPr>
        <w:t>https://pubmed.ncbi.nlm.nih.gov/42716862/</w:t>
      </w:r>
    </w:p>
    <w:p>
      <w:pPr>
        <w:pStyle w:val="Heading2"/>
      </w:pPr>
      <w:r>
        <w:t>10-kHz Rückenmarkstimulation lindert Schmerz und bessert Nervenfunktion bei diabetischer Neuropathie</w:t>
      </w:r>
    </w:p>
    <w:p>
      <w:r>
        <w:rPr>
          <w:i/>
          <w:color w:val="666666"/>
          <w:sz w:val="18"/>
        </w:rPr>
        <w:t>Hurley RW et al.  ·  Diabetes Care  ·  09.09.2026  ·  PMID 42713876</w:t>
      </w:r>
    </w:p>
    <w:p>
      <w:r>
        <w:t>Randomisierte Kontrollstudie (PDN-Sensory) zur hochfrequenten Rückenmarkstimulation gegen konventionelle Behandlung bei schmerzhafter diabetischer Neuropathie mit Schmerzlinderung und sensorischen Endpunkten.</w:t>
      </w:r>
    </w:p>
    <w:p>
      <w:r>
        <w:rPr>
          <w:b/>
        </w:rPr>
        <w:t xml:space="preserve">Ergebnis: </w:t>
      </w:r>
      <w:r>
        <w:t>Schmerzlinderung ≥50% erreichten 79% (27/34) der Stimulationsgruppe vs. 4% (2/50) Kontrollen (p&lt;0,001). Sensorische Verbesserung (≥3-Punkte-Reduktion mTCNS) in 55% vs. 25% (p=0,01). Mittlere Zunahme der intraepidermalen Nervenfaserdichte +0,58 Fasern/mm vs. –0,07 in der Kontrollgruppe (p=0,03). Primär- und 8 von 10 sekundären Endpunkten erreicht.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USA/angelsächsisches System; Sicherheits- und Wirksamkeitsdaten geographieunabhängig</w:t>
      </w:r>
    </w:p>
    <w:p>
      <w:r>
        <w:rPr>
          <w:color w:val="5A7D3A"/>
          <w:sz w:val="18"/>
        </w:rPr>
        <w:t>https://pubmed.ncbi.nlm.nih.gov/42713876/</w:t>
      </w:r>
    </w:p>
    <w:p>
      <w:pPr>
        <w:pStyle w:val="Heading2"/>
      </w:pPr>
      <w:r>
        <w:t>Mortalität bei diabetischem Fusssyndrom höher als bei Krebs in drei internationalen Kohorten</w:t>
      </w:r>
    </w:p>
    <w:p>
      <w:r>
        <w:rPr>
          <w:i/>
          <w:color w:val="666666"/>
          <w:sz w:val="18"/>
        </w:rPr>
        <w:t>Zeng Q et al.  ·  Diabetes Metab Res Rev  ·  Sept. 2026  ·  PMID 42708860</w:t>
      </w:r>
    </w:p>
    <w:p>
      <w:r>
        <w:t>Vergleich der Sterblichkeit von Patienten mit diabetischem Fusssyndrom und verschiedenen Krebsarten anhand von Daten aus NHANES, UK Biobank und einer chinesischen Diabetes-Registry.</w:t>
      </w:r>
    </w:p>
    <w:p>
      <w:r>
        <w:rPr>
          <w:b/>
        </w:rPr>
        <w:t xml:space="preserve">Ergebnis: </w:t>
      </w:r>
      <w:r>
        <w:t>Patienten mit diabetischem Fusssyndrom hatten eine um 38 bis 499% höhere Sterblichkeit als Patienten mit Krebs insgesamt (Hazard Ratios 1,35–10,69 je nach Kohort und Krebsart). Die Sterblichkeit des diabetischen Fusssyndroms war ähnlich wie bei Dickdarm-, Lymph- und Nierenkarzinom und niedriger nur als bei Lungen-, Pankreas- und Leberkarzinom. Eine eindrucksvolle Demonstration der schwerwiegenden Prognose dieser Komplikation.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Kohortenanalyse; Konsequenz für Priorisierung von Versorgungsressourcen und Prävention</w:t>
      </w:r>
    </w:p>
    <w:p>
      <w:r>
        <w:rPr>
          <w:color w:val="5A7D3A"/>
          <w:sz w:val="18"/>
        </w:rPr>
        <w:t>https://pubmed.ncbi.nlm.nih.gov/42708860/</w:t>
      </w:r>
    </w:p>
    <w:p>
      <w:pPr>
        <w:pStyle w:val="Heading2"/>
      </w:pPr>
      <w:r>
        <w:t>Glukosemessung identifiziert Typ-1-Diabetes in frühen Stadien und Schnellfortschrittler</w:t>
      </w:r>
    </w:p>
    <w:p>
      <w:r>
        <w:rPr>
          <w:i/>
          <w:color w:val="666666"/>
          <w:sz w:val="18"/>
        </w:rPr>
        <w:t>Weiss A et al.  ·  Diabetologia  ·  07.09.2026  ·  PMID 42704479</w:t>
      </w:r>
    </w:p>
    <w:p>
      <w:r>
        <w:t>Kontinuierliche Glukosemessung mit FreeStyle Libre Pro iQ bei Kindern mit und ohne Diabetesautoantikörpern zur Unterscheidung von Krankheitsstadien und zur Risikoschichtung.</w:t>
      </w:r>
    </w:p>
    <w:p>
      <w:r>
        <w:rPr>
          <w:b/>
        </w:rPr>
        <w:t xml:space="preserve">Ergebnis: </w:t>
      </w:r>
      <w:r>
        <w:t>Bei frühem Typ-1-Diabetes hatten 22% (Stadium 1) und 52% (Stadium 2) erhöhte Glukoseparameter (oberhalb 97,5. Perzentil). Bei der Metrik »Zeit &gt;140 mg/dL« (TA140) &gt;15% wurden 75–100% der innerhalb eines Jahres zu klinischem Diabetes Fortschreitenden erkannt (Sensitivität). Systemabhängig variierende Referenzwerte erfordern Harmonisierung vor klinischer Anwendung.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Studiengruppe Fr1da (München); Transfer in deutsche Früherkennung realistisch</w:t>
      </w:r>
    </w:p>
    <w:p>
      <w:r>
        <w:rPr>
          <w:color w:val="5A7D3A"/>
          <w:sz w:val="18"/>
        </w:rPr>
        <w:t>https://pubmed.ncbi.nlm.nih.gov/42704479/</w:t>
      </w:r>
    </w:p>
    <w:p>
      <w:pPr>
        <w:pStyle w:val="Heading2"/>
      </w:pPr>
      <w:r>
        <w:t>Soziale Ungleichheit bei Gestationsdiabetes und Komplikationslast in Schweden</w:t>
      </w:r>
    </w:p>
    <w:p>
      <w:r>
        <w:rPr>
          <w:i/>
          <w:color w:val="666666"/>
          <w:sz w:val="18"/>
        </w:rPr>
        <w:t>Kaegi-Braun N et al.  ·  J Clin Endocrinol Metab  ·  07.09.2026  ·  PMID 42702813</w:t>
      </w:r>
    </w:p>
    <w:p>
      <w:r>
        <w:t>Nationale Kohortenstudie zu Assoziation von Herkunft, Bildung, Einkommen mit Gestationsdiabetes-Prävalenz und Komplikationen in 938.798 Schwangerschaften (2015–2023).</w:t>
      </w:r>
    </w:p>
    <w:p>
      <w:r>
        <w:rPr>
          <w:b/>
        </w:rPr>
        <w:t xml:space="preserve">Ergebnis: </w:t>
      </w:r>
      <w:r>
        <w:t>Gestationsdiabetes-Prävalenz stieg von 1,5% (2015) auf 6,6% (2023), steepest bei Migrationshintergrund, niedrigerer Bildung und niedrigerem Einkommen. Relative Assoziationen mit Schwangerschafts- und geburtshilflichen Komplikationen waren bei niedrigerer Bildung stärker (p-Interaktion=0,029, 0,038). Assoziation varierte nach Herkunftsregion; Absolute Risiken aber nicht uniformly niedriger bei Migrantinnen.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Registers; Vergleichbar mit deutschem Sozialversicherungssystem und Versorgungsauftrag</w:t>
      </w:r>
    </w:p>
    <w:p>
      <w:r>
        <w:rPr>
          <w:color w:val="5A7D3A"/>
          <w:sz w:val="18"/>
        </w:rPr>
        <w:t>https://pubmed.ncbi.nlm.nih.gov/42702813/</w:t>
      </w:r>
    </w:p>
    <w:p>
      <w:pPr>
        <w:pStyle w:val="Heading2"/>
      </w:pPr>
      <w:r>
        <w:t>Amputation bei Typ-2-Diabetes: 2,5-faches Herz-Kreislauf-Sterberisiko im Folgejahr</w:t>
      </w:r>
    </w:p>
    <w:p>
      <w:r>
        <w:rPr>
          <w:i/>
          <w:color w:val="666666"/>
          <w:sz w:val="18"/>
        </w:rPr>
        <w:t>Bergqvist K et al.  ·  Cardiovasc Diabetol  ·  24.08.2026  ·  PMID 42649507</w:t>
      </w:r>
    </w:p>
    <w:p>
      <w:r>
        <w:t>Bevölkerungsstudie zur kardiovaskulären Prognose nach Amputation bei Typ-2-Diabetes anhand des Schwedischen Nationaldiabetesregisters (2006–2019) mit Matching auf 13.940 Kontrollen ohne Amputation.</w:t>
      </w:r>
    </w:p>
    <w:p>
      <w:r>
        <w:rPr>
          <w:b/>
        </w:rPr>
        <w:t xml:space="preserve">Ergebnis: </w:t>
      </w:r>
      <w:r>
        <w:t>Adjustierte Hazard Ratios für Amputierte: Gesamtsterblichkeit 2,46 (95%-KI 2,31–2,61), kardiovaskuläre Sterblichkeit 2,43 (2,18–2,71), Herzinsuffizienz 2,13 (1,92–2,36), Myokardinfarkt 1,79 (1,55–2,08), Schlaganfall 1,52 (1,31–1,76). Im ersten Jahr nach Amputation &gt;3-fach erhöht, nach 5 Jahren noch um 50%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Gesundheitssystem, nationale Registers; übertragbar auf deutsches Versicherungsregime</w:t>
      </w:r>
    </w:p>
    <w:p>
      <w:r>
        <w:rPr>
          <w:color w:val="5A7D3A"/>
          <w:sz w:val="18"/>
        </w:rPr>
        <w:t>https://pubmed.ncbi.nlm.nih.gov/42649507/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2026-09-19T06:00:00Z</dcterms:created>
  <dcterms:modified xsi:type="dcterms:W3CDTF">2026-09-19T06:00:00Z</dcterms:modified>
  <cp:category/>
</cp:coreProperties>
</file>