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10.09.2026  |  6 Studien  |  diabetes.m-vf.de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Einjährige Progression von Prädiabetes zu Typ-2-Diabetes in türkischer Primärversorgung: 5,9%</w:t>
      </w:r>
    </w:p>
    <w:p>
      <w:r>
        <w:rPr>
          <w:i/>
          <w:color w:val="666666"/>
          <w:sz w:val="18"/>
        </w:rPr>
        <w:t>Tapur AS et al.  ·  Prim Care Diabetes  ·  09.09.2026  ·  PMID 42716862</w:t>
      </w:r>
    </w:p>
    <w:p>
      <w:r>
        <w:t>Prospektive Kohortenstudie in der Türkei zu Prädiabetes-Fortschreitung (n=152, Follow-up 1 Jahr) mit Charakterisierung von Progressoren und Nicht-Progressoren.</w:t>
      </w:r>
    </w:p>
    <w:p>
      <w:r>
        <w:rPr>
          <w:b/>
        </w:rPr>
        <w:t xml:space="preserve">Ergebnis: </w:t>
      </w:r>
      <w:r>
        <w:t>Progressionsrate 5,9% (95%-KI 2,7–10,9%, 9 Fälle). Alle 9 Fälle traten bei kombinierter Nüchtern-Glukose- und Glukosetoleranzstörung auf. Progressoren hatten höher BMI, Taillenumfang, Nüchternglukose, HbA1c und 2-h-Glukose. 2-h-Glukose zeigte stärkste Trennung; alle Befunde aufgrund niedriger Fallzahl unvalidiert und hypothesengenerierend.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Primärversorgung Türkei; Transferierbarkeit limitiert (kleine Fallzahl, keine Validierung)</w:t>
      </w:r>
    </w:p>
    <w:p>
      <w:r>
        <w:rPr>
          <w:color w:val="5A7D3A"/>
          <w:sz w:val="18"/>
        </w:rPr>
        <w:t>https://pubmed.ncbi.nlm.nih.gov/42716862/</w:t>
      </w:r>
    </w:p>
    <w:p>
      <w:pPr>
        <w:pStyle w:val="Heading2"/>
      </w:pPr>
      <w:r>
        <w:t>10-kHz Rückenmarkstimulation lindert Schmerz und bessert Nervenfunktion bei diabetischer Neuropathie</w:t>
      </w:r>
    </w:p>
    <w:p>
      <w:r>
        <w:rPr>
          <w:i/>
          <w:color w:val="666666"/>
          <w:sz w:val="18"/>
        </w:rPr>
        <w:t>Hurley RW et al.  ·  Diabetes Care  ·  09.09.2026  ·  PMID 42713876</w:t>
      </w:r>
    </w:p>
    <w:p>
      <w:r>
        <w:t>Randomisierte Kontrollstudie (PDN-Sensory) zur hochfrequenten Rückenmarkstimulation gegen konventionelle Behandlung bei schmerzhafter diabetischer Neuropathie mit Schmerzlinderung und sensorischen Endpunkten.</w:t>
      </w:r>
    </w:p>
    <w:p>
      <w:r>
        <w:rPr>
          <w:b/>
        </w:rPr>
        <w:t xml:space="preserve">Ergebnis: </w:t>
      </w:r>
      <w:r>
        <w:t>Schmerzlinderung ≥50% erreichten 79% (27/34) der Stimulationsgruppe vs. 4% (2/50) Kontrollen (p&lt;0,001). Sensorische Verbesserung (≥3-Punkte-Reduktion mTCNS) in 55% vs. 25% (p=0,01). Mittlere Zunahme der intraepidermalen Nervenfaserdichte +0,58 Fasern/mm vs. –0,07 in der Kontrollgruppe (p=0,03). Primär- und 8 von 10 sekundären Endpunkten erreicht.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USA/angelsächsisches System; Sicherheits- und Wirksamkeitsdaten geographieunabhängig</w:t>
      </w:r>
    </w:p>
    <w:p>
      <w:r>
        <w:rPr>
          <w:color w:val="5A7D3A"/>
          <w:sz w:val="18"/>
        </w:rPr>
        <w:t>https://pubmed.ncbi.nlm.nih.gov/42713876/</w:t>
      </w:r>
    </w:p>
    <w:p>
      <w:pPr>
        <w:pStyle w:val="Heading2"/>
      </w:pPr>
      <w:r>
        <w:t>Mortalität bei diabetischem Fusssyndrom höher als bei Krebs in drei internationalen Kohorten</w:t>
      </w:r>
    </w:p>
    <w:p>
      <w:r>
        <w:rPr>
          <w:i/>
          <w:color w:val="666666"/>
          <w:sz w:val="18"/>
        </w:rPr>
        <w:t>Zeng Q et al.  ·  Diabetes Metab Res Rev  ·  Sept. 2026  ·  PMID 42708860</w:t>
      </w:r>
    </w:p>
    <w:p>
      <w:r>
        <w:t>Vergleich der Sterblichkeit von Patienten mit diabetischem Fusssyndrom und verschiedenen Krebsarten anhand von Daten aus NHANES, UK Biobank und einer chinesischen Diabetes-Registry.</w:t>
      </w:r>
    </w:p>
    <w:p>
      <w:r>
        <w:rPr>
          <w:b/>
        </w:rPr>
        <w:t xml:space="preserve">Ergebnis: </w:t>
      </w:r>
      <w:r>
        <w:t>Patienten mit diabetischem Fusssyndrom hatten eine um 38 bis 499% höhere Sterblichkeit als Patienten mit Krebs insgesamt (Hazard Ratios 1,35–10,69 je nach Kohort und Krebsart). Die Sterblichkeit des diabetischen Fusssyndroms war ähnlich wie bei Dickdarm-, Lymph- und Nierenkarzinom und niedriger nur als bei Lungen-, Pankreas- und Leberkarzinom. Eine eindrucksvolle Demonstration der schwerwiegenden Prognose dieser Komplikation.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Kohortenanalyse; Konsequenz für Priorisierung von Versorgungsressourcen und Prävention</w:t>
      </w:r>
    </w:p>
    <w:p>
      <w:r>
        <w:rPr>
          <w:color w:val="5A7D3A"/>
          <w:sz w:val="18"/>
        </w:rPr>
        <w:t>https://pubmed.ncbi.nlm.nih.gov/42708860/</w:t>
      </w:r>
    </w:p>
    <w:p>
      <w:pPr>
        <w:pStyle w:val="Heading2"/>
      </w:pPr>
      <w:r>
        <w:t>Glukosemessung identifiziert Typ-1-Diabetes in frühen Stadien und Schnellfortschrittler</w:t>
      </w:r>
    </w:p>
    <w:p>
      <w:r>
        <w:rPr>
          <w:i/>
          <w:color w:val="666666"/>
          <w:sz w:val="18"/>
        </w:rPr>
        <w:t>Weiss A et al.  ·  Diabetologia  ·  07.09.2026  ·  PMID 42704479</w:t>
      </w:r>
    </w:p>
    <w:p>
      <w:r>
        <w:t>Kontinuierliche Glukosemessung mit FreeStyle Libre Pro iQ bei Kindern mit und ohne Diabetesautoantikörpern zur Unterscheidung von Krankheitsstadien und zur Risikoschichtung.</w:t>
      </w:r>
    </w:p>
    <w:p>
      <w:r>
        <w:rPr>
          <w:b/>
        </w:rPr>
        <w:t xml:space="preserve">Ergebnis: </w:t>
      </w:r>
      <w:r>
        <w:t>Bei frühem Typ-1-Diabetes hatten 22% (Stadium 1) und 52% (Stadium 2) erhöhte Glukoseparameter (oberhalb 97,5. Perzentil). Bei der Metrik »Zeit &gt;140 mg/dL« (TA140) &gt;15% wurden 75–100% der innerhalb eines Jahres zu klinischem Diabetes Fortschreitenden erkannt (Sensitivität). Systemabhängig variierende Referenzwerte erfordern Harmonisierung vor klinischer Anwendung.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Studiengruppe Fr1da (München); Transfer in deutsche Früherkennung realistisch</w:t>
      </w:r>
    </w:p>
    <w:p>
      <w:r>
        <w:rPr>
          <w:color w:val="5A7D3A"/>
          <w:sz w:val="18"/>
        </w:rPr>
        <w:t>https://pubmed.ncbi.nlm.nih.gov/42704479/</w:t>
      </w:r>
    </w:p>
    <w:p>
      <w:pPr>
        <w:pStyle w:val="Heading2"/>
      </w:pPr>
      <w:r>
        <w:t>Soziale Ungleichheit bei Gestationsdiabetes und Komplikationslast in Schweden</w:t>
      </w:r>
    </w:p>
    <w:p>
      <w:r>
        <w:rPr>
          <w:i/>
          <w:color w:val="666666"/>
          <w:sz w:val="18"/>
        </w:rPr>
        <w:t>Kaegi-Braun N et al.  ·  J Clin Endocrinol Metab  ·  07.09.2026  ·  PMID 42702813</w:t>
      </w:r>
    </w:p>
    <w:p>
      <w:r>
        <w:t>Nationale Kohortenstudie zu Assoziation von Herkunft, Bildung, Einkommen mit Gestationsdiabetes-Prävalenz und Komplikationen in 938.798 Schwangerschaften (2015–2023).</w:t>
      </w:r>
    </w:p>
    <w:p>
      <w:r>
        <w:rPr>
          <w:b/>
        </w:rPr>
        <w:t xml:space="preserve">Ergebnis: </w:t>
      </w:r>
      <w:r>
        <w:t>Gestationsdiabetes-Prävalenz stieg von 1,5% (2015) auf 6,6% (2023), steepest bei Migrationshintergrund, niedrigerer Bildung und niedrigerem Einkommen. Relative Assoziationen mit Schwangerschafts- und geburtshilflichen Komplikationen waren bei niedrigerer Bildung stärker (p-Interaktion=0,029, 0,038). Assoziation varierte nach Herkunftsregion; Absolute Risiken aber nicht uniformly niedriger bei Migrantinnen.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Schwedisches Registers; Vergleichbar mit deutschem Sozialversicherungssystem und Versorgungsauftrag</w:t>
      </w:r>
    </w:p>
    <w:p>
      <w:r>
        <w:rPr>
          <w:color w:val="5A7D3A"/>
          <w:sz w:val="18"/>
        </w:rPr>
        <w:t>https://pubmed.ncbi.nlm.nih.gov/42702813/</w:t>
      </w:r>
    </w:p>
    <w:p>
      <w:pPr>
        <w:pStyle w:val="Heading2"/>
      </w:pPr>
      <w:r>
        <w:t>Amputation bei Typ-2-Diabetes: 2,5-faches Herz-Kreislauf-Sterberisiko im Folgejahr</w:t>
      </w:r>
    </w:p>
    <w:p>
      <w:r>
        <w:rPr>
          <w:i/>
          <w:color w:val="666666"/>
          <w:sz w:val="18"/>
        </w:rPr>
        <w:t>Bergqvist K et al.  ·  Cardiovasc Diabetol  ·  24.08.2026  ·  PMID 42649507</w:t>
      </w:r>
    </w:p>
    <w:p>
      <w:r>
        <w:t>Bevölkerungsstudie zur kardiovaskulären Prognose nach Amputation bei Typ-2-Diabetes anhand des Schwedischen Nationaldiabetesregisters (2006–2019) mit Matching auf 13.940 Kontrollen ohne Amputation.</w:t>
      </w:r>
    </w:p>
    <w:p>
      <w:r>
        <w:rPr>
          <w:b/>
        </w:rPr>
        <w:t xml:space="preserve">Ergebnis: </w:t>
      </w:r>
      <w:r>
        <w:t>Adjustierte Hazard Ratios für Amputierte: Gesamtsterblichkeit 2,46 (95%-KI 2,31–2,61), kardiovaskuläre Sterblichkeit 2,43 (2,18–2,71), Herzinsuffizienz 2,13 (1,92–2,36), Myokardinfarkt 1,79 (1,55–2,08), Schlaganfall 1,52 (1,31–1,76). Im ersten Jahr nach Amputation &gt;3-fach erhöht, nach 5 Jahren noch um 50% erhöht.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Schwedisches Gesundheitssystem, nationale Registers; übertragbar auf deutsches Versicherungsregime</w:t>
      </w:r>
    </w:p>
    <w:p>
      <w:r>
        <w:rPr>
          <w:color w:val="5A7D3A"/>
          <w:sz w:val="18"/>
        </w:rPr>
        <w:t>https://pubmed.ncbi.nlm.nih.gov/42649507/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2026-09-10T06:00:00Z</dcterms:created>
  <dcterms:modified xsi:type="dcterms:W3CDTF">2026-09-10T06:00:00Z</dcterms:modified>
  <cp:category/>
</cp:coreProperties>
</file>