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04.10.2026  |  6 Studien  |  diabetes.m-vf.de</w:t>
      </w:r>
    </w:p>
    <w:p>
      <w:pPr>
        <w:pStyle w:val="Heading1"/>
      </w:pPr>
      <w:r>
        <w:t>Aufgenommen am 04.10.2026</w:t>
      </w:r>
    </w:p>
    <w:p>
      <w:pPr>
        <w:pStyle w:val="Heading2"/>
      </w:pPr>
      <w:r>
        <w:t>Typ-2-Diabetes-Management 2026: SGLT2-Inhibitoren und GLP-1-Therapien früher einsetzen</w:t>
      </w:r>
    </w:p>
    <w:p>
      <w:r>
        <w:rPr>
          <w:i/>
          <w:color w:val="666666"/>
          <w:sz w:val="18"/>
        </w:rPr>
        <w:t>Davies MJ et al.  ·  Diabetes Care  ·  02.10.2026  ·  PMID 42825450</w:t>
      </w:r>
    </w:p>
    <w:p>
      <w:r>
        <w:t>ADA/EASD-Konsensus empfiehlt eine Neubewertung der Typ-2-Diabetes-Therapie mit frühzeitiger Verwendung von SGLT2-Inhibitoren und/oder GLP-1-basierten Therapien bereits von der Diagnose an für Organprotektion.</w:t>
      </w:r>
    </w:p>
    <w:p>
      <w:r>
        <w:rPr>
          <w:b/>
        </w:rPr>
        <w:t xml:space="preserve">Ergebnis: </w:t>
      </w:r>
      <w:r>
        <w:t>Kernempfehlung: SGLT2-Inhibitoren und GLP-1-Therapeutika sollten früher, potenziell ab Diagnose, eingesetzt werden; Kombination beider Klassen wird bei kardiovaskulären Erkrankungen, chronischer Nierenerkrankung und Herzinsuffizienz empfohlen. Dies markiert Paradigmenwechsel von reiner Glukosekontrolle zu organoprotektiver 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USA/Europa, aber Verfügbarkeit und Erstattung in Deutschland (DMP, Hilfsmittelverordnung) klären.</w:t>
      </w:r>
    </w:p>
    <w:p>
      <w:r>
        <w:rPr>
          <w:color w:val="5A7D3A"/>
          <w:sz w:val="18"/>
        </w:rPr>
        <w:t>https://pubmed.ncbi.nlm.nih.gov/42825450/</w:t>
      </w:r>
    </w:p>
    <w:p>
      <w:pPr>
        <w:pStyle w:val="Heading2"/>
      </w:pPr>
      <w:r>
        <w:t>Crisugabalin lindert diabetische Neuropathieschmerzen besser als Pregabalin</w:t>
      </w:r>
    </w:p>
    <w:p>
      <w:r>
        <w:rPr>
          <w:i/>
          <w:color w:val="666666"/>
          <w:sz w:val="18"/>
        </w:rPr>
        <w:t>Li Y et al.  ·  Diabetes Obes Metab  ·  02.10.2026  ·  PMID 42823911</w:t>
      </w:r>
    </w:p>
    <w:p>
      <w:r>
        <w:t>Randomisierte kontrollierte Studie bei 93 Patienten mit diabetisch-peripherer Neuropathie und unzureichender Pregabalin-Antwort verglich Crisugabalin 40 mg/Tag mit Pregabalin 300 mg/Tag über 4 Wochen.</w:t>
      </w:r>
    </w:p>
    <w:p>
      <w:r>
        <w:rPr>
          <w:b/>
        </w:rPr>
        <w:t xml:space="preserve">Ergebnis: </w:t>
      </w:r>
      <w:r>
        <w:t>Crisugabalin zeigte größere Schmerzreduktion (SF-MPQ-Differenz −7,2 Punkte; 95%-KI −12,4 bis −2,0; p=0,007). Unerwünschte Ereignisse traten bei 29,5 % (Crisugabalin) vs. 47,8 % (Pregabalin)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GABA-Analog, ggf. Substanzliste bei Kostenträgern klären.</w:t>
      </w:r>
    </w:p>
    <w:p>
      <w:r>
        <w:rPr>
          <w:color w:val="5A7D3A"/>
          <w:sz w:val="18"/>
        </w:rPr>
        <w:t>https://pubmed.ncbi.nlm.nih.gov/42823911/</w:t>
      </w:r>
    </w:p>
    <w:p>
      <w:pPr>
        <w:pStyle w:val="Heading2"/>
      </w:pPr>
      <w:r>
        <w:t>Diabetische Retinopathie und schwere Hypoglykämien nach Ketoazidose-Debut bei Typ-1-Diabetes</w:t>
      </w:r>
    </w:p>
    <w:p>
      <w:r>
        <w:rPr>
          <w:i/>
          <w:color w:val="666666"/>
          <w:sz w:val="18"/>
        </w:rPr>
        <w:t>Cosson E et al.  ·  Diabetes Obes Metab  ·  02.10.2026  ·  PMID 42823888</w:t>
      </w:r>
    </w:p>
    <w:p>
      <w:r>
        <w:t>Französische Kohortenstudie mit 3.548 erwachsenen Typ-1-Diabetikern verglich Patienten mit oder ohne Aufnahme auf die Intensivstation beim Debüt als Ketoazidose.</w:t>
      </w:r>
    </w:p>
    <w:p>
      <w:r>
        <w:rPr>
          <w:b/>
        </w:rPr>
        <w:t xml:space="preserve">Ergebnis: </w:t>
      </w:r>
      <w:r>
        <w:t>10,6 % mit initialer Intensivstationsaufnahme zeigten erhöhte Retinopathieprävalenz (36,6 % vs. 31,4 %; p&lt;0,05) und schwere Hypoglykämien im Vorjahr (15,4 % vs. 10,5 %; p&lt;0,01), auch nach Adjustierung signifikant. Retinopathierisiko war bei Diagnose vor Alter 17 Jahren erhöht (OR 1,5; 95%-KI 1,1–2,1; p=0,015).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Spezialzentren, vergleichbare Dokumentation; weist auf langfristige Folgen dramatischer Erstmanifestation hin.</w:t>
      </w:r>
    </w:p>
    <w:p>
      <w:r>
        <w:rPr>
          <w:color w:val="5A7D3A"/>
          <w:sz w:val="18"/>
        </w:rPr>
        <w:t>https://pubmed.ncbi.nlm.nih.gov/42823888/</w:t>
      </w:r>
    </w:p>
    <w:p>
      <w:pPr>
        <w:pStyle w:val="Heading2"/>
      </w:pPr>
      <w:r>
        <w:t>LinX-Glukosemesssystem erreicht 8,66 % mittlere Genauigkeit in 15-Tage-Studie</w:t>
      </w:r>
    </w:p>
    <w:p>
      <w:r>
        <w:rPr>
          <w:i/>
          <w:color w:val="666666"/>
          <w:sz w:val="18"/>
        </w:rPr>
        <w:t>Liu Y et al.  ·  Diabetes Obes Metab  ·  01.10.2026  ·  PMID 42823091</w:t>
      </w:r>
    </w:p>
    <w:p>
      <w:r>
        <w:t>Prospektive multizentrische Leistungsstudie an 87 Erwachsenen mit Diabetes evaluierte Genauigkeit und Sicherheit des LinX-CGM-Systems über 15 Tage Tragezeit.</w:t>
      </w:r>
    </w:p>
    <w:p>
      <w:r>
        <w:rPr>
          <w:b/>
        </w:rPr>
        <w:t xml:space="preserve">Ergebnis: </w:t>
      </w:r>
      <w:r>
        <w:t>Mittlere absolute relative Differenz (MARD) 8,66 % (95%-KI 8,27–9,05 %). Im Bereich 3,9–10,0 mmol/L: 87,2 % der Messwerte ±15 % des Referenzwertes; bei ≥10,0 mmol/L: 90,2 %. Sensorüberlebensrate nach 15 Tagen: 96 %. Keine schwerwiegenden 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CGM-Geräte sind Diabetestechnik unabhängig von Ursprungsland.</w:t>
      </w:r>
    </w:p>
    <w:p>
      <w:r>
        <w:rPr>
          <w:color w:val="5A7D3A"/>
          <w:sz w:val="18"/>
        </w:rPr>
        <w:t>https://pubmed.ncbi.nlm.nih.gov/42823091/</w:t>
      </w:r>
    </w:p>
    <w:p>
      <w:pPr>
        <w:pStyle w:val="Heading2"/>
      </w:pPr>
      <w:r>
        <w:t>Zu wenige Länder werden Typ-1-Diabetes-Mortalität bis 2030 senken</w:t>
      </w:r>
    </w:p>
    <w:p>
      <w:r>
        <w:rPr>
          <w:i/>
          <w:color w:val="666666"/>
          <w:sz w:val="18"/>
        </w:rPr>
        <w:t>Zhao J  ·  Diabetes Res Clin Pract  ·  29.09.2026  ·  PMID 42810591</w:t>
      </w:r>
    </w:p>
    <w:p>
      <w:r>
        <w:t>Ökologische Zeitreihenanalyse (2000–2021) mit Prognose bis 2030 zur Ungleichverteilung der Mortalität-zu-Inzidenz-Ratio (MIR) bei Typ-1-Diabetes weltweit nach Ländereinkommensgruppe.</w:t>
      </w:r>
    </w:p>
    <w:p>
      <w:r>
        <w:rPr>
          <w:b/>
        </w:rPr>
        <w:t xml:space="preserve">Ergebnis: </w:t>
      </w:r>
      <w:r>
        <w:t>Historische Median-MIR in Hocheinkommensländern: 0,142 vs. Tiefeinkommensländern: 0,646. Prognose zeigt persistente Ungleichheiten bis 2030; nur 14 von 204 Ländern/Territorien haben ≥50 % Wahrscheinlichkeit, SDG-3.4-Benchmark zu erreichen. 158 Länder sind High-Confidence-Non-Attainer.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Global; zeigt strukturelle Versorgungslücken, die Praxis in Deutschland indirekt betreffen (Migration, Lehren für vulnerable Gruppen).</w:t>
      </w:r>
    </w:p>
    <w:p>
      <w:r>
        <w:rPr>
          <w:color w:val="5A7D3A"/>
          <w:sz w:val="18"/>
        </w:rPr>
        <w:t>https://pubmed.ncbi.nlm.nih.gov/42810591/</w:t>
      </w:r>
    </w:p>
    <w:p>
      <w:pPr>
        <w:pStyle w:val="Heading2"/>
      </w:pPr>
      <w:r>
        <w:t>IDAA1c ≤9 unterschätzt β-Zellfunktion bei übergewichtigen Jugendlichen mit Typ-1-Diabetes</w:t>
      </w:r>
    </w:p>
    <w:p>
      <w:r>
        <w:rPr>
          <w:i/>
          <w:color w:val="666666"/>
          <w:sz w:val="18"/>
        </w:rPr>
        <w:t>Ferm ML et al.  ·  Diabetes Care  ·  29.09.2026  ·  PMID 42808984</w:t>
      </w:r>
    </w:p>
    <w:p>
      <w:r>
        <w:t>SEARCH-Kohortenstudie mit 422 Jugendlichen prüfte, ob die Partialremissions-Marke IDAA1c≤9 (Insulindosis-adjustiertes HbA1c) tatsächlich C-Peptid-Remission vorhersagt, differenziert nach BMI.</w:t>
      </w:r>
    </w:p>
    <w:p>
      <w:r>
        <w:rPr>
          <w:b/>
        </w:rPr>
        <w:t xml:space="preserve">Ergebnis: </w:t>
      </w:r>
      <w:r>
        <w:t>IDAA1c≤9 zeigte insgesamt 61 % Sensitivität und 79 % Spezifität (ROC-AUC 0,77). Bei übergewichtigen/adipösen Jugendlichen war Sensitivität nur 45 %; BMI-spezifischer Cutoff IDAA1c≤11,6 verbesserte Sensitivität auf 93 % bei 54 % Spezifität.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methodisches Problem betrifft auch deutsche Praxen und Studienprotokolle.</w:t>
      </w:r>
    </w:p>
    <w:p>
      <w:r>
        <w:rPr>
          <w:color w:val="5A7D3A"/>
          <w:sz w:val="18"/>
        </w:rPr>
        <w:t>https://pubmed.ncbi.nlm.nih.gov/42808984/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2026-10-04T06:00:00Z</dcterms:created>
  <dcterms:modified xsi:type="dcterms:W3CDTF">2026-10-04T06:00:00Z</dcterms:modified>
  <cp:category/>
</cp:coreProperties>
</file>