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Diabetes</w:t>
      </w:r>
    </w:p>
    <w:p>
      <w:r>
        <w:rPr>
          <w:i/>
          <w:color w:val="666666"/>
          <w:sz w:val="18"/>
        </w:rPr>
        <w:t>Stand: 18.09.2026  |  55 Studien  |  diabetes.m-vf.de</w:t>
      </w:r>
    </w:p>
    <w:p>
      <w:pPr>
        <w:pStyle w:val="Heading1"/>
      </w:pPr>
      <w:r>
        <w:t>Aufgenommen am 18.09.2026</w:t>
      </w:r>
    </w:p>
    <w:p>
      <w:pPr>
        <w:pStyle w:val="Heading2"/>
      </w:pPr>
      <w:r>
        <w:t>Frühe Glukosemesstechnik verbessert kognitive Entwicklung bei Kinder-Typ-1-Diabetes</w:t>
      </w:r>
    </w:p>
    <w:p>
      <w:r>
        <w:rPr>
          <w:i/>
          <w:color w:val="666666"/>
          <w:sz w:val="18"/>
        </w:rPr>
        <w:t>Bassi M et al.  ·  Diabetes Res Clin Pract  ·  17.09.2026  ·  PMID 42753828</w:t>
      </w:r>
    </w:p>
    <w:p>
      <w:r>
        <w:t>Die prospektive Kohortenstudie mit 153 Kindern und Jugendlichen (6–17 Jahre) prüfte, ob kontinuierliche Glukosemessung (CGM) und automatisierte Insulinabgabe mit neuropsychologischen Ergebnissen (WISC-IV, Exekutivfunktion, Verhalten) korrelieren.</w:t>
      </w:r>
    </w:p>
    <w:p>
      <w:r>
        <w:rPr>
          <w:b/>
        </w:rPr>
        <w:t xml:space="preserve">Ergebnis: </w:t>
      </w:r>
      <w:r>
        <w:t>Anhaltende CGM-Nutzung (≥90% der Krankheitsdauer) und höherer automatisierter Betrieb (≥50%) waren mit höherem Verbal Comprehension Index (p=0,005 und p=0,025) und General Ability Index (p=0,015 und p=0,043) assoziiert. HbA1c ≤53 mmol/mol in den ersten 2–5 Jahren nach Diagnose korrelierte mit besseren exekutiven Funktionen und Verhaltenszielen.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Zentren, kinderdiabetologisch relevant für Technologie-Einsatz</w:t>
      </w:r>
    </w:p>
    <w:p>
      <w:r>
        <w:rPr>
          <w:color w:val="5A7D3A"/>
          <w:sz w:val="18"/>
        </w:rPr>
        <w:t>https://pubmed.ncbi.nlm.nih.gov/42753828/</w:t>
      </w:r>
    </w:p>
    <w:p>
      <w:pPr>
        <w:pStyle w:val="Heading2"/>
      </w:pPr>
      <w:r>
        <w:t>Sensortechnik ohne Unterbrechung reduziert Automatikmodus-Unterbrechungen um 23 Min/Tag</w:t>
      </w:r>
    </w:p>
    <w:p>
      <w:r>
        <w:rPr>
          <w:i/>
          <w:color w:val="666666"/>
          <w:sz w:val="18"/>
        </w:rPr>
        <w:t>Marigliano M et al.  ·  Diabetes Res Clin Pract  ·  17.09.2026  ·  PMID 42753827</w:t>
      </w:r>
    </w:p>
    <w:p>
      <w:r>
        <w:t>Multizentrische retrospektive Studie an 42 Jugendlichen, die von Guardian-4- auf Simplera-Sync-Sensor wechselten, verglich kontinuierliche-Glukosemessungs-Parameter und Patient-Reported Outcomes nach MiniMed 780G zwischen letzten zwei Wochen alter und neuer Sensornutzung.</w:t>
      </w:r>
    </w:p>
    <w:p>
      <w:r>
        <w:rPr>
          <w:b/>
        </w:rPr>
        <w:t xml:space="preserve">Ergebnis: </w:t>
      </w:r>
      <w:r>
        <w:t>Automatisierter Modus stieg von 95,3% auf 97,1% (+1,8 Prozentpunkte, ~23 Min/Tag; p&lt;0,02). Time-in-Range (70–180 mg/dL) stieg von 76,7% auf 79,3% (p&lt;0,05); Mittelglukose sank von 146,0 auf 141,3 mg/dL (p&lt;0,05). Behandlungszufriedenheit erhöht, wahrgenommene Last verringert (beide p&lt;0,01).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Italienisches Verbundnetz, technologie-/gerätepolitik für DMP-Modelle relevant</w:t>
      </w:r>
    </w:p>
    <w:p>
      <w:r>
        <w:rPr>
          <w:color w:val="5A7D3A"/>
          <w:sz w:val="18"/>
        </w:rPr>
        <w:t>https://pubmed.ncbi.nlm.nih.gov/42753827/</w:t>
      </w:r>
    </w:p>
    <w:p>
      <w:pPr>
        <w:pStyle w:val="Heading2"/>
      </w:pPr>
      <w:r>
        <w:t>Orales Semaglutid reduziert kardiovaskuläres Risiko in Echtpraxis stärker als DPP4/SGLT2i</w:t>
      </w:r>
    </w:p>
    <w:p>
      <w:r>
        <w:rPr>
          <w:i/>
          <w:color w:val="666666"/>
          <w:sz w:val="18"/>
        </w:rPr>
        <w:t>Tan X et al.  ·  Diabetes Ther  ·  17.09.2026  ·  PMID 42753116</w:t>
      </w:r>
    </w:p>
    <w:p>
      <w:r>
        <w:t>Beobachtungskohortenstudie mit US-Verwaltungsdaten an 10.878 Semaglutid-Neupatienten mit Typ-2-Diabetes und ASKVD verglich MACE und Sterblichkeit gegenüber Dipeptidylpeptidase-4-Inhibitoren (DPP4i, n=7.218) und SGLT2-Inhibitoren (SGLT2i, n=21.572).</w:t>
      </w:r>
    </w:p>
    <w:p>
      <w:r>
        <w:rPr>
          <w:b/>
        </w:rPr>
        <w:t xml:space="preserve">Ergebnis: </w:t>
      </w:r>
      <w:r>
        <w:t>Semaglutid zeigte 17–21% Reduktion des 3-Punkte-MACE vs. alle Vergleicher (p&lt;0,001). Gegen DPP4i: 22–24% Risikoreduktion (p&lt;0,001). Gegen SGLT2i: 21–22% Risikoreduktion für 3-Punkte-MACE (p&lt;0,001); signifikant niedrigere Gesamtsterblichkeit und Schlaganfallrisiko (p&lt;0,001).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praxisrelevant für Deutschland nur beim kardiovaskulären Schutzprofil</w:t>
      </w:r>
    </w:p>
    <w:p>
      <w:r>
        <w:rPr>
          <w:color w:val="5A7D3A"/>
          <w:sz w:val="18"/>
        </w:rPr>
        <w:t>https://pubmed.ncbi.nlm.nih.gov/42753116/</w:t>
      </w:r>
    </w:p>
    <w:p>
      <w:pPr>
        <w:pStyle w:val="Heading2"/>
      </w:pPr>
      <w:r>
        <w:t>MVX-Index vorhersagt Sterblichkeit bei Typ-2-Diabetes stärker als klassische Risikofaktoren</w:t>
      </w:r>
    </w:p>
    <w:p>
      <w:r>
        <w:rPr>
          <w:i/>
          <w:color w:val="666666"/>
          <w:sz w:val="18"/>
        </w:rPr>
        <w:t>Keech AC et al.  ·  Diabetologia  ·  17.09.2026  ·  PMID 42752966</w:t>
      </w:r>
    </w:p>
    <w:p>
      <w:r>
        <w:t>Die Studie untersuchte, ob NMR-basierte metabolische Vulnerabilitätsindizes (MVX) in einer 5-Jahres-Verlaufsbeobachtung von 9.550 Patienten mit Typ-2-Diabetes die Mortalität besser prognostizieren als etablierte klinische Parameter.</w:t>
      </w:r>
    </w:p>
    <w:p>
      <w:r>
        <w:rPr>
          <w:b/>
        </w:rPr>
        <w:t xml:space="preserve">Ergebnis: </w:t>
      </w:r>
      <w:r>
        <w:t>MVX in der höchsten Quintile war mit mehr als doppeltem Mortalitätsrisiko assoziiert (HR 2,31; 95%-KI 1,71–3,12); jede Standardabweichung MVX-Anstieg bedeutete 75% höheres Mortalitätsrisiko (p&lt;0,001). MVX verbesserte die Risiko-Diskrimination (C-Statistik 0,725 → 0,737; p=0,0003) über alle etablierten Faktoren hinaus.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Australische/neuseeländische Klinikdaten, aber Methodik übertragbar auf deutsche Register</w:t>
      </w:r>
    </w:p>
    <w:p>
      <w:r>
        <w:rPr>
          <w:color w:val="5A7D3A"/>
          <w:sz w:val="18"/>
        </w:rPr>
        <w:t>https://pubmed.ncbi.nlm.nih.gov/42752966/</w:t>
      </w:r>
    </w:p>
    <w:p>
      <w:pPr>
        <w:pStyle w:val="Heading2"/>
      </w:pPr>
      <w:r>
        <w:t>Frühe Unterernährung beeinträchtigt Insulinsensitivität dauerhaft, auch nach Gewichtszunahme</w:t>
      </w:r>
    </w:p>
    <w:p>
      <w:r>
        <w:rPr>
          <w:i/>
          <w:color w:val="666666"/>
          <w:sz w:val="18"/>
        </w:rPr>
        <w:t>Cox SE et al.  ·  Diabet Med  ·  16.09.2026  ·  PMID 42748280</w:t>
      </w:r>
    </w:p>
    <w:p>
      <w:r>
        <w:t>Querschnitts-Analyse aus sechs prospektiven Kohorten in Sambia, Tansania, Indien und Philippinen (n=2.172) prüfte, ob frühere Wasting-Malnutrition (Emaziierung) die Insulin-Sekation und -Sensitivität in der Gegenwart beeinflusst, stratifiziert nach aktuellem BMI.</w:t>
      </w:r>
    </w:p>
    <w:p>
      <w:r>
        <w:rPr>
          <w:b/>
        </w:rPr>
        <w:t xml:space="preserve">Ergebnis: </w:t>
      </w:r>
      <w:r>
        <w:t>Kinder mit Emaziierung hatten 20–24% niedrigere Insulinsensitivität (Matsuda-Index). Erwachsene mit früher Emaziierung (vor 36–37 Jahren) zeigten auch nach Anpassung für heutigen BMI 18% niedrigere Sensitivität. Kürzliche Emaziierung (3–17 Jahre) korrelierte mit 10–20% niedrigerer Sekretion, aber 21–47% höherer Sensitivität (aufgrund niedriger aktueller BMI).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Asien, Afrika – wichtig für LMICs; für Deutschland indirekt, wenn Migration/frühe Mangelernährung-Kohorten</w:t>
      </w:r>
    </w:p>
    <w:p>
      <w:r>
        <w:rPr>
          <w:color w:val="5A7D3A"/>
          <w:sz w:val="18"/>
        </w:rPr>
        <w:t>https://pubmed.ncbi.nlm.nih.gov/42748280/</w:t>
      </w:r>
    </w:p>
    <w:p>
      <w:pPr>
        <w:pStyle w:val="Heading2"/>
      </w:pPr>
      <w:r>
        <w:t>Indiens Strategien zur Kostenreduktion moderner Diabetesmittel – Vorlage für LMICs und High-Income-Länder</w:t>
      </w:r>
    </w:p>
    <w:p>
      <w:r>
        <w:rPr>
          <w:i/>
          <w:color w:val="666666"/>
          <w:sz w:val="18"/>
        </w:rPr>
        <w:t>Mohan V et al.  ·  Diabetes Care  ·  16.09.2026  ·  PMID 42747945</w:t>
      </w:r>
    </w:p>
    <w:p>
      <w:r>
        <w:t>Expertenbericht aus dem führenden indischen Diabeteszentrum beschreibt pharmazeutische Politik, Preisregulation, generische Produktion und öffentliche Verteilungsinitiativen, die in Indien 60–90% Kostenreduktion für SGLT2i und GLP-1-RA nach Patentablauf erreicht haben.</w:t>
      </w:r>
    </w:p>
    <w:p>
      <w:r>
        <w:rPr>
          <w:b/>
        </w:rPr>
        <w:t xml:space="preserve">Ergebnis: </w:t>
      </w:r>
      <w:r>
        <w:t>Indien hat 15- bis 65-fache Preisdifferenzen gegenüber USA-Listenpreisen bei selektierten Mitteln erzielt. Patentablauf, starker Generika-Wettbewerb, strukturierte Preisregulation und Ayushman-Bharat-Regierungsprogramme haben Zugang für Arme und ländliche Bevölkerung erheblich verbessert. Qualitäts- und Pharmakokinetik-Unterschiede zwischen Herstellern bleiben eine Herausforderung.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LMICs – Lehren für Deutschland nur beim regulatorischen/pricing-Modell, nicht direkt übertragbar</w:t>
      </w:r>
    </w:p>
    <w:p>
      <w:r>
        <w:rPr>
          <w:color w:val="5A7D3A"/>
          <w:sz w:val="18"/>
        </w:rPr>
        <w:t>https://pubmed.ncbi.nlm.nih.gov/42747945/</w:t>
      </w:r>
    </w:p>
    <w:p>
      <w:pPr>
        <w:pStyle w:val="Heading2"/>
      </w:pPr>
      <w:r>
        <w:t>Kohortenstudien als Grundlage der modernen Diabetologie – 50 Jahre Wissensentwicklung</w:t>
      </w:r>
    </w:p>
    <w:p>
      <w:r>
        <w:rPr>
          <w:i/>
          <w:color w:val="666666"/>
          <w:sz w:val="18"/>
        </w:rPr>
        <w:t>Sargent JL et al.  ·  Diabetologia  ·  16.09.2026  ·  PMID 42747447</w:t>
      </w:r>
    </w:p>
    <w:p>
      <w:r>
        <w:t>Narrative Übersichtsarbeit von Kohortenforschern aus weltweit über 30 Zentren fasst zusammen, wie Beobachtungsstudien das Verständnis von Typ-2-Diabetes-Entstehung, -Komplikationen und -Risikofaktoren über fünf Dekaden vorangebracht haben.</w:t>
      </w:r>
    </w:p>
    <w:p>
      <w:r>
        <w:rPr>
          <w:b/>
        </w:rPr>
        <w:t xml:space="preserve">Ergebnis: </w:t>
      </w:r>
      <w:r>
        <w:t>Kohortenstudien haben Diagnosekriteria, Komplikationserkennung, Risikovorhersage und Leitlinien-Entwicklung transformiert. Die Analyse behandelt Stärken/Schwächen gegenüber RCTs und experimentellen Modellen; Zukunftswege (KI, Präzisions-Health, Exposom) sind skizziert. Schluss: experimentelle und beobachtende Forschung sind komplementär für Verständnis und Politikwandel.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und globale Evidenzsynthese, methodologisch für alle Gesundheitssysteme grundlegend</w:t>
      </w:r>
    </w:p>
    <w:p>
      <w:r>
        <w:rPr>
          <w:color w:val="5A7D3A"/>
          <w:sz w:val="18"/>
        </w:rPr>
        <w:t>https://pubmed.ncbi.nlm.nih.gov/42747447/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CGM-Trajektorien bei Typ-1-Diabetes: Altersgruppen profitieren unterschiedlich</w:t>
      </w:r>
    </w:p>
    <w:p>
      <w:r>
        <w:rPr>
          <w:i/>
          <w:color w:val="666666"/>
          <w:sz w:val="18"/>
        </w:rPr>
        <w:t>Yoo JH et al.  ·  Diabetes Care  ·  16.09.2026  ·  PMID 42747916</w:t>
      </w:r>
    </w:p>
    <w:p>
      <w:r>
        <w:t>Dreiachähr-Kohortenstudie mit 1028 Personen und 3441 CGM-Profilen zur Analyse von Glukoseverlauf stratifiziert nach Alter, Nierenfunktion, Betazellfunktion und BMI.</w:t>
      </w:r>
    </w:p>
    <w:p>
      <w:r>
        <w:rPr>
          <w:b/>
        </w:rPr>
        <w:t xml:space="preserve">Ergebnis: </w:t>
      </w:r>
      <w:r>
        <w:t>Ältere Erwachsene zeigen Verbesserung der Time in Range (TIR) vergleichbar zu jüngeren (β=0,110, p=0,102) ohne Verschärfung von Hypoglykämien. Bei chronischer Nierenkrankheit signifikante TIR-Verbesserung (β=0,228, p=0,002). Schwere Betazelleninsuffizienz limitiert TIR-Gewinne (β=-0,119, p=0,025); substantielle Heterogenität innerhalb Subgruppen unterstützt individualisierte Ziele.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Südkorea; Konsequenz: Subgruppengerechte CGM-Ziele sind praktikabel und nötig</w:t>
      </w:r>
    </w:p>
    <w:p>
      <w:r>
        <w:rPr>
          <w:color w:val="5A7D3A"/>
          <w:sz w:val="18"/>
        </w:rPr>
        <w:t>https://pubmed.ncbi.nlm.nih.gov/42747916/</w:t>
      </w:r>
    </w:p>
    <w:p>
      <w:pPr>
        <w:pStyle w:val="Heading2"/>
      </w:pPr>
      <w:r>
        <w:t>Typ-1-Diabetes bei Erwachsenen: Leitlinie mit Gewicht auf neue Technologien</w:t>
      </w:r>
    </w:p>
    <w:p>
      <w:r>
        <w:rPr>
          <w:i/>
          <w:color w:val="666666"/>
          <w:sz w:val="18"/>
        </w:rPr>
        <w:t>Holt RIG et al.  ·  Diabetologia  ·  16.09.2026  ·  PMID 42747450</w:t>
      </w:r>
    </w:p>
    <w:p>
      <w:r>
        <w:t>Aktualisierte internationale Leitlinie von ADA und EASD zur Behandlung von Typ-1-Diabetes bei Erwachsenen mit Fokus auf Technologien, Screeningverfahren und Management von Adipositas sowie psychosozialer Belastung.</w:t>
      </w:r>
    </w:p>
    <w:p>
      <w:r>
        <w:rPr>
          <w:b/>
        </w:rPr>
        <w:t xml:space="preserve">Ergebnis: </w:t>
      </w:r>
      <w:r>
        <w:t>Die Leitlinie integriert kontinuierliche Glukosemessung (CGM) und automatisierte Insulingabesysteme als Standardtherapie, empfiehlt psychische Unterstützung und adressiert erstmals systematisch Langzeit-Komplikationsscreening sowie Prävention von Typ-1-Diabetes im Stadium 3.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ADA/EASD-Konsens, anwendbar auf deutsches Versorgungssystem mit Anpassung an DMP-Struktur</w:t>
      </w:r>
    </w:p>
    <w:p>
      <w:r>
        <w:rPr>
          <w:color w:val="5A7D3A"/>
          <w:sz w:val="18"/>
        </w:rPr>
        <w:t>https://pubmed.ncbi.nlm.nih.gov/42747450/</w:t>
      </w:r>
    </w:p>
    <w:p>
      <w:pPr>
        <w:pStyle w:val="Heading2"/>
      </w:pPr>
      <w:r>
        <w:t>Time in Range-Abnahme über 5 Jahre vorhersagt mikrovaskuläre Folgen bei Typ-1-Diabetes</w:t>
      </w:r>
    </w:p>
    <w:p>
      <w:r>
        <w:rPr>
          <w:i/>
          <w:color w:val="666666"/>
          <w:sz w:val="18"/>
        </w:rPr>
        <w:t>Sabbe A et al.  ·  J Clin Endocrinol Metab  ·  16.09.2026  ·  PMID 42745423</w:t>
      </w:r>
    </w:p>
    <w:p>
      <w:r>
        <w:t>Real-World-Kohortenstudie (246 Personen, 24 Jahre Diabetesdauer) zur Assoziation zwischen CGM-Metriken und Auftreten von Nephropathie, Retinopathie oder Neuropathie über 5 Jahre.</w:t>
      </w:r>
    </w:p>
    <w:p>
      <w:r>
        <w:rPr>
          <w:b/>
        </w:rPr>
        <w:t xml:space="preserve">Ergebnis: </w:t>
      </w:r>
      <w:r>
        <w:t>HbA1c sank von 7,6% auf 7,2%, TIR stieg von 50% auf 61%. Eine TIR-Abnahme ≥10% war assoziiert mit Komplikationsrate 33,3% (vs. 7,9% bei stabiler TIR, 15,0% bei Zunahme, p=0,011). Change in TIR blieb unabhängig mit Outcome assoziiert (AUC 0,757–0,787). Modelle mit CGM-Metriken und Alter zeigen akzeptable diskriminative Leistung.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ähnliche Versorgungsstruktur; TIR-Trend als Prognosemarker über HbA1c hinaus relevant</w:t>
      </w:r>
    </w:p>
    <w:p>
      <w:r>
        <w:rPr>
          <w:color w:val="5A7D3A"/>
          <w:sz w:val="18"/>
        </w:rPr>
        <w:t>https://pubmed.ncbi.nlm.nih.gov/42745423/</w:t>
      </w:r>
    </w:p>
    <w:p>
      <w:pPr>
        <w:pStyle w:val="Heading2"/>
      </w:pPr>
      <w:r>
        <w:t>Diabetes Distress: Evidenzbasierte Leitlinie zur Diagnostik und Therapie</w:t>
      </w:r>
    </w:p>
    <w:p>
      <w:r>
        <w:rPr>
          <w:i/>
          <w:color w:val="666666"/>
          <w:sz w:val="18"/>
        </w:rPr>
        <w:t>Speight J et al.  ·  Diabetologia  ·  15.09.2026  ·  PMID 42744915</w:t>
      </w:r>
    </w:p>
    <w:p>
      <w:r>
        <w:t>EASD-Leitlinie mit systematischer Evidenzbewertung zu Assessment und Behandlung der emotionalen Belastung (Diabetes Distress) bei Typ-1 und Typ-2-Diabetes im Erwachsenenalter.</w:t>
      </w:r>
    </w:p>
    <w:p>
      <w:r>
        <w:rPr>
          <w:b/>
        </w:rPr>
        <w:t xml:space="preserve">Ergebnis: </w:t>
      </w:r>
      <w:r>
        <w:t>Acht Good-Practice-Statements zum Screening (Routinediskussion psychisches Wohlbefinden, validierte Messtools), für Typ-1-Diabetes: CGM und automatisierte Insulingabe reduzieren Distress; für Typ-2-Diabetes: psychologische und schulische Interventionen wirksam; Empfehlungen basieren auf GRADE-Methodik mit systematischem Review und Metaanalyse.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Europäisches Versorgungssystem, direkt in deutsches DMP integrierbar, Training erforderlich</w:t>
      </w:r>
    </w:p>
    <w:p>
      <w:r>
        <w:rPr>
          <w:color w:val="5A7D3A"/>
          <w:sz w:val="18"/>
        </w:rPr>
        <w:t>https://pubmed.ncbi.nlm.nih.gov/42744915/</w:t>
      </w:r>
    </w:p>
    <w:p>
      <w:pPr>
        <w:pStyle w:val="Heading2"/>
      </w:pPr>
      <w:r>
        <w:t>Prävention Typ-2-Diabetes: Bewegungsreaktion differiert nach Glukosestatus</w:t>
      </w:r>
    </w:p>
    <w:p>
      <w:r>
        <w:rPr>
          <w:i/>
          <w:color w:val="666666"/>
          <w:sz w:val="18"/>
        </w:rPr>
        <w:t>James E et al.  ·  Diabetologia  ·  14.09.2026  ·  PMID 42736402</w:t>
      </w:r>
    </w:p>
    <w:p>
      <w:r>
        <w:t>Gepoolte Analyse von 3 RCTs (2150 Personen, bis 48 Monate) zu Effekt strukturierter Lebensstil-Interventionen auf Bewegung und Glukose stratifiziert nach Baseline-Glukose-Phänotyp.</w:t>
      </w:r>
    </w:p>
    <w:p>
      <w:r>
        <w:rPr>
          <w:b/>
        </w:rPr>
        <w:t xml:space="preserve">Ergebnis: </w:t>
      </w:r>
      <w:r>
        <w:t>IFG+IGT-Gruppe: Intervention erhöhte Schritte um 808/Tag (95%-KI 402–1213) mit 2-h-Glukose-Senkung –0,5 mmol/L (p=0,001). Reine IFG-Gruppe nicht responsiv (71 Schritte, KI –429–571, n.s.). Normoglykämie und IGT-Gruppen zeigten intermediäre Effekte. Heterogene Baseline-Bewegungsmengen. Schluss: Klinische Wirksamkeit von Diabetes-Präventions-Programmen differiert nach Glykämiestatus.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Großbritannien/NIHR; Implikation: Interventionen müssen nach Phänotyp tailored werden</w:t>
      </w:r>
    </w:p>
    <w:p>
      <w:r>
        <w:rPr>
          <w:color w:val="5A7D3A"/>
          <w:sz w:val="18"/>
        </w:rPr>
        <w:t>https://pubmed.ncbi.nlm.nih.gov/42736402/</w:t>
      </w:r>
    </w:p>
    <w:p>
      <w:pPr>
        <w:pStyle w:val="Heading2"/>
      </w:pPr>
      <w:r>
        <w:t>Diabetes und Diphtherie durch Corynebacterium ulcerans: deutsches Risiko-Register 2017–2022</w:t>
      </w:r>
    </w:p>
    <w:p>
      <w:r>
        <w:rPr>
          <w:i/>
          <w:color w:val="666666"/>
          <w:sz w:val="18"/>
        </w:rPr>
        <w:t>Badenschier F et al.  ·  Dtsch Arztebl Int  ·  10.07.2026  ·  PMID 42687590</w:t>
      </w:r>
    </w:p>
    <w:p>
      <w:r>
        <w:t>Analyse des intensivierten Diphtherie-Surveillance-Systems (RKI) zur Assoziation zwischen Diabetes mellitus und invasivem C.-ulcerans-Infekt (Diphtherie) in Deutschland.</w:t>
      </w:r>
    </w:p>
    <w:p>
      <w:r>
        <w:rPr>
          <w:b/>
        </w:rPr>
        <w:t xml:space="preserve">Ergebnis: </w:t>
      </w:r>
      <w:r>
        <w:t>Gesamtzeitraum: 8 Fälle C.-ulcerans-Diphtherie. Diabetes mellitus und Haustierkontakt waren signifikante Risikofaktoren. Diabetiker zeigten erhöhte Prädisposition für schwere Infektionen. Daten aus deutschem Surveillance-System belegen epidemiologische Assoziation; Impfstatus und Management bei Diabetikern unterrepräsentiert.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Routinedaten RKI-Surveillance; direkter Anwendungsbezug für Diabetologen bei Impfempfehlungen</w:t>
      </w:r>
    </w:p>
    <w:p>
      <w:r>
        <w:rPr>
          <w:color w:val="5A7D3A"/>
          <w:sz w:val="18"/>
        </w:rPr>
        <w:t>https://pubmed.ncbi.nlm.nih.gov/42687590/</w:t>
      </w:r>
    </w:p>
    <w:p>
      <w:pPr>
        <w:pStyle w:val="Heading1"/>
      </w:pPr>
      <w:r>
        <w:t>Aufgenommen am 16.09.2026</w:t>
      </w:r>
    </w:p>
    <w:p>
      <w:pPr>
        <w:pStyle w:val="Heading2"/>
      </w:pPr>
      <w:r>
        <w:t>Verschiedene Erkennungsraten bei gezieltem Diabetes-Screening in Dänemark</w:t>
      </w:r>
    </w:p>
    <w:p>
      <w:r>
        <w:rPr>
          <w:i/>
          <w:color w:val="666666"/>
          <w:sz w:val="18"/>
        </w:rPr>
        <w:t>Mateu NC et al.  ·  BMJ Open Diabetes Res Care  ·  15.09.2026  ·  PMID 42744583</w:t>
      </w:r>
    </w:p>
    <w:p>
      <w:r>
        <w:t>Vergleich von mobilen Screening-Einheiten mit Heim-Selbstmessung zur Früherkennung von Diabetes in der Bevölkerung mittels HbA1c-Tests.</w:t>
      </w:r>
    </w:p>
    <w:p>
      <w:r>
        <w:rPr>
          <w:b/>
        </w:rPr>
        <w:t xml:space="preserve">Ergebnis: </w:t>
      </w:r>
      <w:r>
        <w:t>HbA1c ≥48 mmol/mol (≥6,5%) wurde in 3,1% (mobile Einheit) vs. 3,5% (Heim-Selbstmessung) gefunden; die Heim-Messung war effizienter bei Werten 42–47 mmol/mol (6,0–6,4%), wo 15,2% vs. 9,1% erreicht wurden. Beide Methoden sind komplementär.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vergleichbarer nordeuropäischer Sozialversicherung, hohe Übertragbarkeit auf deutsche Screening-Strukturen</w:t>
      </w:r>
    </w:p>
    <w:p>
      <w:r>
        <w:rPr>
          <w:color w:val="5A7D3A"/>
          <w:sz w:val="18"/>
        </w:rPr>
        <w:t>https://pubmed.ncbi.nlm.nih.gov/42744583/</w:t>
      </w:r>
    </w:p>
    <w:p>
      <w:pPr>
        <w:pStyle w:val="Heading2"/>
      </w:pPr>
      <w:r>
        <w:t>Übergewichtsreduktionsprogramme mit Fertigdiäten: Gute Toleranz, aber Lücken bei Langzeitbegleitung</w:t>
      </w:r>
    </w:p>
    <w:p>
      <w:r>
        <w:rPr>
          <w:i/>
          <w:color w:val="666666"/>
          <w:sz w:val="18"/>
        </w:rPr>
        <w:t>Liu Q et al.  ·  Diabetes Res Clin Pract  ·  15.09.2026  ·  PMID 42744078</w:t>
      </w:r>
    </w:p>
    <w:p>
      <w:r>
        <w:t>Scoping Review über 15 Studien (Interviews, Fokusgruppen, Surveys) zu Erfahrungen von Patienten mit Low-Energy-Diät und Very-Low-Energy-Diät zur Remission von Typ-2-Diabetes.</w:t>
      </w:r>
    </w:p>
    <w:p>
      <w:r>
        <w:rPr>
          <w:b/>
        </w:rPr>
        <w:t xml:space="preserve">Ergebnis: </w:t>
      </w:r>
      <w:r>
        <w:t>Fertigprodukte wurden gut vertragen; Hauptmotivatoren für Adhärenz: Möglichkeit der Diabetes-Remission und Gewichtsreduktion; zusätzliche Benefits bei psychischem Wohlbefinden erkannt; Defizite: inkonsistente Schulung, unzureichende psychologische Unterstützung, fehlende kulturelle Anpassung. Verständnis des Verhaltens nach Programm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übertragbare Erkenntnisse zu Adhärenz-Barrieren für deutsche Remissions-Programme, besonders bezüglich psychologischer Unterstützung</w:t>
      </w:r>
    </w:p>
    <w:p>
      <w:r>
        <w:rPr>
          <w:color w:val="5A7D3A"/>
          <w:sz w:val="18"/>
        </w:rPr>
        <w:t>https://pubmed.ncbi.nlm.nih.gov/42744078/</w:t>
      </w:r>
    </w:p>
    <w:p>
      <w:pPr>
        <w:pStyle w:val="Heading2"/>
      </w:pPr>
      <w:r>
        <w:t>ADA/EASD-Konsens zu Typ-1-Diabetes-Management für Erwachsene 2026</w:t>
      </w:r>
    </w:p>
    <w:p>
      <w:r>
        <w:rPr>
          <w:i/>
          <w:color w:val="666666"/>
          <w:sz w:val="18"/>
        </w:rPr>
        <w:t>Holt RIG et al.  ·  Diabetes Care  ·  15.09.2026  ·  PMID 42742157</w:t>
      </w:r>
    </w:p>
    <w:p>
      <w:r>
        <w:t>Überarbeitete gemeinsame Empfehlung von American Diabetes Association und European Association for the Study of Diabetes zur modernen Behandlung der Typ-1-Diabetes im Erwachsenenalter mit Schwerpunkt auf Technologieintegration und Komplikationsprävention.</w:t>
      </w:r>
    </w:p>
    <w:p>
      <w:r>
        <w:rPr>
          <w:b/>
        </w:rPr>
        <w:t xml:space="preserve">Ergebnis: </w:t>
      </w:r>
      <w:r>
        <w:t>Besonderer Fokus auf neue Technologien (kontinuierliche Glukosemessung, Insulinpumpen, Closed Loop), Prävention von Spätkomplikationen und psychosoziale Versorgung als essenzielle Komponenten der strukturierten Diabetesschulung und Selbstmanagement-Unterstützung.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evidenzbasierte Leitlinie, direkt übertragbar auf deutsches DMP und strukturierte Behandlungsprogramme</w:t>
      </w:r>
    </w:p>
    <w:p>
      <w:r>
        <w:rPr>
          <w:color w:val="5A7D3A"/>
          <w:sz w:val="18"/>
        </w:rPr>
        <w:t>https://pubmed.ncbi.nlm.nih.gov/42742157/</w:t>
      </w:r>
    </w:p>
    <w:p>
      <w:pPr>
        <w:pStyle w:val="Heading2"/>
      </w:pPr>
      <w:r>
        <w:t>GLP-1-Rezeptoragonisten senken Insulindosis bei Typ-2-Diabetes um 33 Einheiten täglich</w:t>
      </w:r>
    </w:p>
    <w:p>
      <w:r>
        <w:rPr>
          <w:i/>
          <w:color w:val="666666"/>
          <w:sz w:val="18"/>
        </w:rPr>
        <w:t>Yang H et al.  ·  Diabetes Obes Metab  ·  14.09.2026  ·  PMID 42736042</w:t>
      </w:r>
    </w:p>
    <w:p>
      <w:r>
        <w:t>Systematische Übersichtsarbeit und Metaanalyse von sieben randomisierten kontrollierten Studien (1.332 Patienten) zu GLP-1-Rezeptoragonisten mit Reduktion der Basalbolus-Insulinther beim Übergang zum GLP-1RA und Basalinsulin.</w:t>
      </w:r>
    </w:p>
    <w:p>
      <w:r>
        <w:rPr>
          <w:b/>
        </w:rPr>
        <w:t xml:space="preserve">Ergebnis: </w:t>
      </w:r>
      <w:r>
        <w:t>HbA1c-Unterschied nicht signifikant (–0,08 Prozentpunkte; 95% CI –0,28 bis 0,12; p=0,391); Körpergewichtreduktion –4,94 kg (p=0,003); Insulintagesddosis –33,32 Einheiten/Tag (p=0,006); Hypoglykämie-Risiko 24% niedriger (RR 0,76; 95% CI 0,66–0,87; p=0,007).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RCT-Evidenz, gültig für deutsche Versorgung und DMP-relevante Therapieoptimierung</w:t>
      </w:r>
    </w:p>
    <w:p>
      <w:r>
        <w:rPr>
          <w:color w:val="5A7D3A"/>
          <w:sz w:val="18"/>
        </w:rPr>
        <w:t>https://pubmed.ncbi.nlm.nih.gov/42736042/</w:t>
      </w:r>
    </w:p>
    <w:p>
      <w:pPr>
        <w:pStyle w:val="Heading2"/>
      </w:pPr>
      <w:r>
        <w:t>MASLD bei Typ-2-Diabetes kostet US-Systeme über 11.000 USD pro Patient pro Jahr</w:t>
      </w:r>
    </w:p>
    <w:p>
      <w:r>
        <w:rPr>
          <w:i/>
          <w:color w:val="666666"/>
          <w:sz w:val="18"/>
        </w:rPr>
        <w:t>Tran TH et al.  ·  Diabetes Obes Metab  ·  14.09.2026  ·  PMID 42736030</w:t>
      </w:r>
    </w:p>
    <w:p>
      <w:r>
        <w:t>Retrospektive Kohortenstudie mit US-Krankenkassendate zur Gesundheitsökonomie von diagnostizierter metabolischer Dysfunktion-assoziierter Steatosis hepatis bei 155.172 Patienten mit Typ-2-Diabetes.</w:t>
      </w:r>
    </w:p>
    <w:p>
      <w:r>
        <w:rPr>
          <w:b/>
        </w:rPr>
        <w:t xml:space="preserve">Ergebnis: </w:t>
      </w:r>
      <w:r>
        <w:t>Gesamtkosten mit MASLD 29.734 USD vs. 18.320 USD ohne MASLD; MASLD assoziiert mit 62% höheren Gesamtkosten (adjustierte Kostenquote 1,62; 95% CI 1,58–1,67), entsprechend 11.411 USD mehr pro Patient pro Jahr; erhöhte Inanspruchnahme aller Versorgungsbereiche.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USA-Gesundheitssystem mit anderer Kostenstruktur, kostentechnische Befunde partiell übertragbar auf deutsche Kostenträger</w:t>
      </w:r>
    </w:p>
    <w:p>
      <w:r>
        <w:rPr>
          <w:color w:val="5A7D3A"/>
          <w:sz w:val="18"/>
        </w:rPr>
        <w:t>https://pubmed.ncbi.nlm.nih.gov/42736030/</w:t>
      </w:r>
    </w:p>
    <w:p>
      <w:pPr>
        <w:pStyle w:val="Heading2"/>
      </w:pPr>
      <w:r>
        <w:t>Große Versorgungslücken bei Typ-2-Diabetes-Behandlung in spanischen Zentren</w:t>
      </w:r>
    </w:p>
    <w:p>
      <w:r>
        <w:rPr>
          <w:i/>
          <w:color w:val="666666"/>
          <w:sz w:val="18"/>
        </w:rPr>
        <w:t>Arzuaga A et al.  ·  Prim Care Diabetes  ·  10.08.2026  ·  PMID 42575755</w:t>
      </w:r>
    </w:p>
    <w:p>
      <w:r>
        <w:t>Qualitätsindikatoren für Diabetes-Management in drei spanischen Regionen anhand von 30.111 Patienten mit elektronischen Patientenakten evaluiert.</w:t>
      </w:r>
    </w:p>
    <w:p>
      <w:r>
        <w:rPr>
          <w:b/>
        </w:rPr>
        <w:t xml:space="preserve">Ergebnis: </w:t>
      </w:r>
      <w:r>
        <w:t>Nur 20,4% erhielten regelmäßige HbA1c-Kontrollen alle 6 Monate; 3,9% der Patienten außerhalb des Zielbereichs bekamen vierteljährliche Kontrollen; 60% mit kardiovaskulären oder Nierenerkrankungen erhielten SGLT2i/GLP-1RA, aber nur 15% Kombinationstherapie; Insulininitiierung verzögert sich um median 7,7 Jahre. Benchmarking haltet Mängel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 mit ähnlichen Versicherungsstrukturen, repräsentativ für fragmentierte Versorgung südeuropäischer und deutscher Regionen</w:t>
      </w:r>
    </w:p>
    <w:p>
      <w:r>
        <w:rPr>
          <w:color w:val="5A7D3A"/>
          <w:sz w:val="18"/>
        </w:rPr>
        <w:t>https://pubmed.ncbi.nlm.nih.gov/42575755/</w:t>
      </w:r>
    </w:p>
    <w:p>
      <w:pPr>
        <w:pStyle w:val="Heading1"/>
      </w:pPr>
      <w:r>
        <w:t>Aufgenommen am 15.09.2026</w:t>
      </w:r>
    </w:p>
    <w:p>
      <w:pPr>
        <w:pStyle w:val="Heading2"/>
      </w:pPr>
      <w:r>
        <w:t>Unteramputation bei Diabetes: 23,5 % Mortalität nach 1 Jahr, keine Verbesserung seit 2012</w:t>
      </w:r>
    </w:p>
    <w:p>
      <w:r>
        <w:rPr>
          <w:i/>
          <w:color w:val="666666"/>
          <w:sz w:val="18"/>
        </w:rPr>
        <w:t>Hennessy C et al.  ·  Diabetes Care  ·  14.09.2026  ·  PMID 42734988</w:t>
      </w:r>
    </w:p>
    <w:p>
      <w:r>
        <w:t>Eine 25-Jahr-Bevölkerungsstudie aus England beschrieb Mortalität und Morbidität nach Unterschenkelamputation bei 25.176 Diabetespatienten mittels verknüpfter Krankenhausdaten.</w:t>
      </w:r>
    </w:p>
    <w:p>
      <w:r>
        <w:rPr>
          <w:b/>
        </w:rPr>
        <w:t xml:space="preserve">Ergebnis: </w:t>
      </w:r>
      <w:r>
        <w:t>Mortalität betrug 23,5 % im 1. Jahr, 60,0 % im 5. Jahr und 82,3 % im 10. Jahr – ohne Verbesserung seit 2012. Unabhängig assoziiert mit erhöhter Mortalität: weibliches Geschlecht (HR 1,06), höheres Alter (HR 1,62), höherer Charlson-Index (HR 1,04 pro Punkt). 90-Tage-Komplikationen: Reoperation (6,24 %), Myokardinfarkt (3,74 %), Readmission (20,25 %); kumulative Kontralateral-Amputation bei 5 Jahren: 6,43 %.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nationale Krankenhausdaten vergleichbar mit deutschem KV-System.</w:t>
      </w:r>
    </w:p>
    <w:p>
      <w:r>
        <w:rPr>
          <w:color w:val="5A7D3A"/>
          <w:sz w:val="18"/>
        </w:rPr>
        <w:t>https://pubmed.ncbi.nlm.nih.gov/42734988/</w:t>
      </w:r>
    </w:p>
    <w:p>
      <w:pPr>
        <w:pStyle w:val="Heading2"/>
      </w:pPr>
      <w:r>
        <w:t>Transition Typ-1-Diabetes: Konsenspapier mit 31 Statements für strukturierte Betreuung</w:t>
      </w:r>
    </w:p>
    <w:p>
      <w:r>
        <w:rPr>
          <w:i/>
          <w:color w:val="666666"/>
          <w:sz w:val="18"/>
        </w:rPr>
        <w:t>de Beaufort C et al.  ·  Diabetologia  ·  14.09.2026  ·  PMID 42734653</w:t>
      </w:r>
    </w:p>
    <w:p>
      <w:r>
        <w:t>Ein internationales Konsenspapier (ISPAD, EASD, ADA) entwickelte evidenzbasierte Empfehlungen zur Betreuung von Jugendlichen und jungen Erwachsenen beim Wechsel von pädiatrischer zu Erwachsenendiabeologie.</w:t>
      </w:r>
    </w:p>
    <w:p>
      <w:r>
        <w:rPr>
          <w:b/>
        </w:rPr>
        <w:t xml:space="preserve">Ergebnis: </w:t>
      </w:r>
      <w:r>
        <w:t>31 Konsens-Statements zum vollen Transitionsprozess (Prä-Transfer, Transfer, Post-Transfer) wurden durch systematische Review + Delphi-Befragung von Fachleuten und Patienten validiert. Evidenz Grade A/B wurde automatisch eingebunden; Grad C/E erfolgte Delphi-Validierung. Der Report enthält keine Zahlen zu Outcomes, sondern Struktur- und Prozessempfehlungen mit dem Ziel, Leitlinien in lokale Praxis zu übersetzen.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Internationales Konsenspaper – Niederlande, Skandinavien, deutschsprachige Länder vertreten.</w:t>
      </w:r>
    </w:p>
    <w:p>
      <w:r>
        <w:rPr>
          <w:color w:val="5A7D3A"/>
          <w:sz w:val="18"/>
        </w:rPr>
        <w:t>https://pubmed.ncbi.nlm.nih.gov/42734653/</w:t>
      </w:r>
    </w:p>
    <w:p>
      <w:pPr>
        <w:pStyle w:val="Heading2"/>
      </w:pPr>
      <w:r>
        <w:t>Beta-Zellfunction bei Prediabetes: ISSI-2 vorhersagekräftiger als HOMA-IR</w:t>
      </w:r>
    </w:p>
    <w:p>
      <w:r>
        <w:rPr>
          <w:i/>
          <w:color w:val="666666"/>
          <w:sz w:val="18"/>
        </w:rPr>
        <w:t>Liu Y et al.  ·  Diabetes Obes Metab  ·  13.09.2026  ·  PMID 42733155</w:t>
      </w:r>
    </w:p>
    <w:p>
      <w:r>
        <w:t>Eine chinesische Prospektivstudie prüfte bei 645 Prediabetespatienten, ob die Insulinsekretion-Sensitivitäts-Index-2 (ISSI-2) aus OGTT-Daten Diabetes-Progression oder -Reversion besser vorhersagt als HOMA-IR.</w:t>
      </w:r>
    </w:p>
    <w:p>
      <w:r>
        <w:rPr>
          <w:b/>
        </w:rPr>
        <w:t xml:space="preserve">Ergebnis: </w:t>
      </w:r>
      <w:r>
        <w:t>Nach 24 Monaten: 136 zur Diabetes progrediert, 61 zu Normoglykämie revertiert (n=410 mit Follow-up). ISSI-2: Jede 1-SD-Steigerung war mit niedrigerem Progressionsrisiko (OR 0,505) und höherem Reversionsrisiko (OR 1,447, beide p&lt;0,001) assoziiert. HOMA-IR weniger konsistent. Dual-Defekt-Gruppe (höher HOMA-IR + niedrig ISSI-2) hatte höchstes Progressionsrisiko (OR 2,764). ISSI-2 erfasst Basalglykämie stärker als HOMA-IR.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große Multicenterstichprobe, Konzept auf deutsche Screening-praxis übertragbar.</w:t>
      </w:r>
    </w:p>
    <w:p>
      <w:r>
        <w:rPr>
          <w:color w:val="5A7D3A"/>
          <w:sz w:val="18"/>
        </w:rPr>
        <w:t>https://pubmed.ncbi.nlm.nih.gov/42733155/</w:t>
      </w:r>
    </w:p>
    <w:p>
      <w:pPr>
        <w:pStyle w:val="Heading2"/>
      </w:pPr>
      <w:r>
        <w:t>Polyneuropathie in Prediabetes: 9,8 % Inzidenz in 24 Monaten</w:t>
      </w:r>
    </w:p>
    <w:p>
      <w:r>
        <w:rPr>
          <w:i/>
          <w:color w:val="666666"/>
          <w:sz w:val="18"/>
        </w:rPr>
        <w:t>Anastasiou G et al.  ·  Diabetes Res Clin Pract  ·  13.08.2026  ·  PMID 42595053</w:t>
      </w:r>
    </w:p>
    <w:p>
      <w:r>
        <w:t>Eine griechische Prospektivstudie untersuchte bei 160 Patienten mit Prediabetes die Inzidenz distaler symmetrischer Polyneuropathie (DSPN) über 24 Monate und identifizierte unabhängige Risikofaktoren.</w:t>
      </w:r>
    </w:p>
    <w:p>
      <w:r>
        <w:rPr>
          <w:b/>
        </w:rPr>
        <w:t xml:space="preserve">Ergebnis: </w:t>
      </w:r>
      <w:r>
        <w:t>Bei 133 DSPN-freien Teilnehmern am Baseline entwickelten 13 (9,8 %) eine DSPN. Unabhängige Prädiktoren waren Alter (OR 1,11 pro Jahr), männliches Geschlecht (OR 1,07), Rauchen (OR 1,17), Taillenumfang (OR 1,04 pro cm), HOMA-IR (OR 1,83) und deren Veränderung (OR 1,46). Die Ergebnisse zeigen, dass Nervenschäden bereits im prädiabeischen Stadium auftreten.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Griechenland, vergleichbares europäisches Versichertensystem.</w:t>
      </w:r>
    </w:p>
    <w:p>
      <w:r>
        <w:rPr>
          <w:color w:val="5A7D3A"/>
          <w:sz w:val="18"/>
        </w:rPr>
        <w:t>https://pubmed.ncbi.nlm.nih.gov/42595053/</w:t>
      </w:r>
    </w:p>
    <w:p>
      <w:pPr>
        <w:pStyle w:val="Heading2"/>
      </w:pPr>
      <w:r>
        <w:t>Diabetesversorgung bei Älteren in Deutschland: Mangel bei modernen Medikamenten</w:t>
      </w:r>
    </w:p>
    <w:p>
      <w:r>
        <w:rPr>
          <w:i/>
          <w:color w:val="666666"/>
          <w:sz w:val="18"/>
        </w:rPr>
        <w:t>Du Y et al.  ·  Diabetes Obes Metab  ·  11.08.2026  ·  PMID 42581634</w:t>
      </w:r>
    </w:p>
    <w:p>
      <w:r>
        <w:t>Eine deutsche Querschnittsstudie (Gesundheit65+) bewertete Versorgungsqualität bei 292 älteren Diabetespatienten (≥66 Jahre) anhand von Leitlinien-Indikatoren und verglich mit früheren Erhebungen.</w:t>
      </w:r>
    </w:p>
    <w:p>
      <w:r>
        <w:rPr>
          <w:b/>
        </w:rPr>
        <w:t xml:space="preserve">Ergebnis: </w:t>
      </w:r>
      <w:r>
        <w:t>90,6 % Nichtraucher, 69,6 % Normalgewicht, 74,2 % Blutdruckkontrolle, 45,5 % sportlich aktiv. Bei Medikation: 73,6 % Antidiabetika (24,3 % Metformin mono, 16,9 % Insulin), 65,7 % Statine, 88,4 % ACE-I/ARB (bei Hypertonie). Moderne Substanzen nur 36,8 % GLP-1-RA/SGLT2i bei kardiovaskulärer Erkrankung; Aspirin 55,4 %. Trend-Analyse (66–79 J.): Insulinrückgang, Verbesserung bei Bewegung, Normalgewicht, Blutdruck und Leitlinien-Medikation.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Robert-Koch-Institut, nationale Untersuchungsdaten.</w:t>
      </w:r>
    </w:p>
    <w:p>
      <w:r>
        <w:rPr>
          <w:color w:val="5A7D3A"/>
          <w:sz w:val="18"/>
        </w:rPr>
        <w:t>https://pubmed.ncbi.nlm.nih.gov/42581634/</w:t>
      </w:r>
    </w:p>
    <w:p>
      <w:pPr>
        <w:pStyle w:val="Heading2"/>
      </w:pPr>
      <w:r>
        <w:t>Typ-2-Diabetes-Prävention: Lebenslauf-Rahmen mit 10 Prioritäten statt Symptom-fokussiert</w:t>
      </w:r>
    </w:p>
    <w:p>
      <w:r>
        <w:rPr>
          <w:i/>
          <w:color w:val="666666"/>
          <w:sz w:val="18"/>
        </w:rPr>
        <w:t>Wang Y et al.  ·  Nat Med  ·  10.08.2026  ·  PMID 42575984</w:t>
      </w:r>
    </w:p>
    <w:p>
      <w:r>
        <w:t>Ein internationales Konsenspapier (22 Experten, darunter deutsche Zentren) entwickelt einen Life-Course-Präventionsrahmen für Typ-2-Diabetes mit Fokus auf Prediabetes-Remission statt nur Progression-Verzögerung.</w:t>
      </w:r>
    </w:p>
    <w:p>
      <w:r>
        <w:rPr>
          <w:b/>
        </w:rPr>
        <w:t xml:space="preserve">Ergebnis: </w:t>
      </w:r>
      <w:r>
        <w:t>Der Bericht beschreibt einen integrierten Life-Course-Risikobau mit kritischen Fenster metabolischer Anfälligkeit und enthält 10 Prioritäten für präventive Intervention. Kernthese: Normoglykämie-Wiederherstellung ist das Ziel, Prediabetes-Remission ein messbarer, erreichbarer Endpunkt; präzise Prävention muss Mechanismen-Heterogenität berücksichtigen und bleibt skalierbar/adaptierbar. Keine Outcome-Zahlen, aber konzeptionelle Rahmengebung für neue Strategien.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Tübingen (Helmholtz, Universitätsklinik), Düsseldorf (DDZ) führend – deutsches Gesundheitssystem eingebunden.</w:t>
      </w:r>
    </w:p>
    <w:p>
      <w:r>
        <w:rPr>
          <w:color w:val="5A7D3A"/>
          <w:sz w:val="18"/>
        </w:rPr>
        <w:t>https://pubmed.ncbi.nlm.nih.gov/42575984/</w:t>
      </w:r>
    </w:p>
    <w:p>
      <w:pPr>
        <w:pStyle w:val="Heading1"/>
      </w:pPr>
      <w:r>
        <w:t>Aufgenommen am 14.09.2026</w:t>
      </w:r>
    </w:p>
    <w:p>
      <w:pPr>
        <w:pStyle w:val="Heading2"/>
      </w:pPr>
      <w:r>
        <w:t>Operationalisierung von Typ-2-Diabetes ändert Phänotyp und Outcome-Assoziation</w:t>
      </w:r>
    </w:p>
    <w:p>
      <w:r>
        <w:rPr>
          <w:i/>
          <w:color w:val="666666"/>
          <w:sz w:val="18"/>
        </w:rPr>
        <w:t>Zhou Y et al.  ·  Diabetes Res Clin Pract  ·  13.09.2026  ·  PMID 42732789</w:t>
      </w:r>
    </w:p>
    <w:p>
      <w:r>
        <w:t>UK-Biobank-Studie mit 501.936 Teilnehmern: Vergleich von fünf alternativen Definitions-Familien für Typ-2-Diabetes und deren Effekt auf Fallzusammensetzung und Mortalitäts-/Morbilitäts-Assoziationen.</w:t>
      </w:r>
    </w:p>
    <w:p>
      <w:r>
        <w:rPr>
          <w:b/>
        </w:rPr>
        <w:t xml:space="preserve">Ergebnis: </w:t>
      </w:r>
      <w:r>
        <w:t>Fallzahlen variierten je Definition (13.873-22.394); Hazard Ratios für MI 3,82 (3,61-4,04) und Demenz 3,79 (3,52-4,09) bei eng definierten Fällen; Einschluss von nicht diagnostiziertem Diabetes reduzierte HRs um 1,2-13,8 %, besonders für Demenz.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UK-System, ähnlich deutsche Routinedokumentation in KVs/Kliniken</w:t>
      </w:r>
    </w:p>
    <w:p>
      <w:r>
        <w:rPr>
          <w:color w:val="5A7D3A"/>
          <w:sz w:val="18"/>
        </w:rPr>
        <w:t>https://pubmed.ncbi.nlm.nih.gov/42732789/</w:t>
      </w:r>
    </w:p>
    <w:p>
      <w:pPr>
        <w:pStyle w:val="Heading2"/>
      </w:pPr>
      <w:r>
        <w:t>Metabolische Faktoren und pulmonale Veränderungen bei Diabetes</w:t>
      </w:r>
    </w:p>
    <w:p>
      <w:r>
        <w:rPr>
          <w:i/>
          <w:color w:val="666666"/>
          <w:sz w:val="18"/>
        </w:rPr>
        <w:t>Li Z et al.  ·  Diabetes Care  ·  01.09.2026  ·  PMID 42623539</w:t>
      </w:r>
    </w:p>
    <w:p>
      <w:r>
        <w:t>Stellungnahme zu Faktoren, die die Verbindung zwischen Diabetes und Lungenfunktionsstörungen modulieren.</w:t>
      </w:r>
    </w:p>
    <w:p>
      <w:r>
        <w:rPr>
          <w:b/>
        </w:rPr>
        <w:t xml:space="preserve">Ergebnis: </w:t>
      </w:r>
      <w:r>
        <w:t>Post-hoc-Analyse zeigt metabolische Marker als unabhängige Prädiktoren pulmonaler Alteration; spezifische Hazard Ratios im Originalmanuskript nicht im Abstract.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Deutschland-Vergleichbarkeit abhängig von Datenquelle, siehe Originalarbeit</w:t>
      </w:r>
    </w:p>
    <w:p>
      <w:r>
        <w:rPr>
          <w:color w:val="5A7D3A"/>
          <w:sz w:val="18"/>
        </w:rPr>
        <w:t>https://pubmed.ncbi.nlm.nih.gov/42623539/</w:t>
      </w:r>
    </w:p>
    <w:p>
      <w:pPr>
        <w:pStyle w:val="Heading2"/>
      </w:pPr>
      <w:r>
        <w:t>DDG-Positionspapier zum Typ-1-Diabetes-Screening</w:t>
      </w:r>
    </w:p>
    <w:p>
      <w:r>
        <w:rPr>
          <w:i/>
          <w:color w:val="666666"/>
          <w:sz w:val="18"/>
        </w:rPr>
        <w:t>Blankenstein O et al.  ·  Exp Clin Endocrinol Diabetes  ·  19.08.2026  ·  PMID 42618003</w:t>
      </w:r>
    </w:p>
    <w:p>
      <w:r>
        <w:t>Stellungnahme der Deutschen Diabetes-Gesellschaft zu Empfehlungen, wer auf Typ-1-Diabetes gescreent werden sollte und wie.</w:t>
      </w:r>
    </w:p>
    <w:p>
      <w:r>
        <w:rPr>
          <w:b/>
        </w:rPr>
        <w:t xml:space="preserve">Ergebnis: </w:t>
      </w:r>
      <w:r>
        <w:t>Empfehlungen basieren auf Expertenkonsens; keine quantitativen Ergebnisse, aber richtungsweisend für die DDG-Standard.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Direkter Fokus auf deutsches Versorgungssystem, DDG-Mitglieder</w:t>
      </w:r>
    </w:p>
    <w:p>
      <w:r>
        <w:rPr>
          <w:color w:val="5A7D3A"/>
          <w:sz w:val="18"/>
        </w:rPr>
        <w:t>https://pubmed.ncbi.nlm.nih.gov/42618003/</w:t>
      </w:r>
    </w:p>
    <w:p>
      <w:pPr>
        <w:pStyle w:val="Heading2"/>
      </w:pPr>
      <w:r>
        <w:t>Semaglutid in Typ-1-Diabetes: Klinisches Stellungnahme-Duo</w:t>
      </w:r>
    </w:p>
    <w:p>
      <w:r>
        <w:rPr>
          <w:i/>
          <w:color w:val="666666"/>
          <w:sz w:val="18"/>
        </w:rPr>
        <w:t>Nauck MA et al.  ·  Lancet Diabetes Endocrinol  ·  17.08.2026  ·  PMID 42607699</w:t>
      </w:r>
    </w:p>
    <w:p>
      <w:r>
        <w:t>Kommentar von Diabetologen zu Sicherheit und Verträglichkeit von Orforglipron, einem GLP-1-Rezeptoragonisten, bei japanischen Patienten mit Typ-2-Diabetes (aus klinischer Studie).</w:t>
      </w:r>
    </w:p>
    <w:p>
      <w:r>
        <w:rPr>
          <w:b/>
        </w:rPr>
        <w:t xml:space="preserve">Ergebnis: </w:t>
      </w:r>
      <w:r>
        <w:t>Keine Outcome-Zahlen im Abstract; redaktionelle Würdigung, keine primären Daten.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Nicht als Originalarbeit, sondern als Fachmeinung</w:t>
      </w:r>
    </w:p>
    <w:p>
      <w:r>
        <w:rPr>
          <w:color w:val="5A7D3A"/>
          <w:sz w:val="18"/>
        </w:rPr>
        <w:t>https://pubmed.ncbi.nlm.nih.gov/42607699/</w:t>
      </w:r>
    </w:p>
    <w:p>
      <w:pPr>
        <w:pStyle w:val="Heading2"/>
      </w:pPr>
      <w:r>
        <w:t>Helicobacter pylori und Insulinresistenz: Assoziation oder Confounder?</w:t>
      </w:r>
    </w:p>
    <w:p>
      <w:r>
        <w:rPr>
          <w:i/>
          <w:color w:val="666666"/>
          <w:sz w:val="18"/>
        </w:rPr>
        <w:t>Singhartinger F et al.  ·  J Clin Endocrinol Metab  ·  17.08.2026  ·  PMID 42605187</w:t>
      </w:r>
    </w:p>
    <w:p>
      <w:r>
        <w:t>Österreichische Cross-sectional-Studie mit 4.681 asymptomatischen Erwachsenen: Helicobacter-pylori-Status per Magenbiopsi vs. Insulinresistenz (HOMA-IR &gt; 2,5), mit rigoroser Confounder-Anpassung und Bayesian-Analyse.</w:t>
      </w:r>
    </w:p>
    <w:p>
      <w:r>
        <w:rPr>
          <w:b/>
        </w:rPr>
        <w:t xml:space="preserve">Ergebnis: </w:t>
      </w:r>
      <w:r>
        <w:t>Rohprävalenz der Insulinresistenz höher bei H. pylori+ (31 % vs. 27 %; p=0,015); nach vollständiger Anpassung verschwand die Assoziation (IRR 1,12, 95% KI 0,95-1,31; p=0,176); Bayesian-Analyse: 87,9 % Wahrscheinlichkeit praktischer Äquivalenz – H. pylori ist ein Marker sozioökonomischer Faktoren, nicht kausal.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Österreich, mitteleuropäisches Versorgungssystem, vergleichbar mit Deutschland</w:t>
      </w:r>
    </w:p>
    <w:p>
      <w:r>
        <w:rPr>
          <w:color w:val="5A7D3A"/>
          <w:sz w:val="18"/>
        </w:rPr>
        <w:t>https://pubmed.ncbi.nlm.nih.gov/42605187/</w:t>
      </w:r>
    </w:p>
    <w:p>
      <w:pPr>
        <w:pStyle w:val="Heading2"/>
      </w:pPr>
      <w:r>
        <w:t>Genetische Heterogenität: Monogenes Diabetes in Italien deutet auf Land-spezifische Phänotypen</w:t>
      </w:r>
    </w:p>
    <w:p>
      <w:r>
        <w:rPr>
          <w:i/>
          <w:color w:val="666666"/>
          <w:sz w:val="18"/>
        </w:rPr>
        <w:t>Di Paola R et al.  ·  Diabetes Res Clin Pract  ·  14.08.2026  ·  PMID 42600891</w:t>
      </w:r>
    </w:p>
    <w:p>
      <w:r>
        <w:t>Kohortenstudie mit 521 italienischen Patienten mit Verdacht auf monogenes Diabetes: Vergleich der Prävalenz und Charakterisierung pathogener Varianten mit anderen europäischen Ländern.</w:t>
      </w:r>
    </w:p>
    <w:p>
      <w:r>
        <w:rPr>
          <w:b/>
        </w:rPr>
        <w:t xml:space="preserve">Ergebnis: </w:t>
      </w:r>
      <w:r>
        <w:t>Pathogene/wahrscheinlich pathogene Varianten in 127/521 (24,4 %); GCK-Diabetes war mit 54 % der Fall am häufigsten (Unterschied zu UK/Frankreich, wo HNF-Varianten dominieren); MODY-Prädiktor-Kalkulator zeigte schlechtere Diskrimination als im UK entwickelt.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Patientendaten, europäisch vergleichbar, benötigt aber länderspezifische Algorithmen</w:t>
      </w:r>
    </w:p>
    <w:p>
      <w:r>
        <w:rPr>
          <w:color w:val="5A7D3A"/>
          <w:sz w:val="18"/>
        </w:rPr>
        <w:t>https://pubmed.ncbi.nlm.nih.gov/42600891/</w:t>
      </w:r>
    </w:p>
    <w:p>
      <w:pPr>
        <w:pStyle w:val="Heading1"/>
      </w:pPr>
      <w:r>
        <w:t>Aufgenommen am 13.09.2026</w:t>
      </w:r>
    </w:p>
    <w:p>
      <w:pPr>
        <w:pStyle w:val="Heading2"/>
      </w:pPr>
      <w:r>
        <w:t>Epigenetische Modulation der Ernährungs-Diabetes-Assoziation: DNA-Methylierung stärker als Genetik</w:t>
      </w:r>
    </w:p>
    <w:p>
      <w:r>
        <w:rPr>
          <w:i/>
          <w:color w:val="666666"/>
          <w:sz w:val="18"/>
        </w:rPr>
        <w:t>El-Khoury C et al.  ·  Cardiovasc Diabetol  ·  11.09.2026  ·  PMID 42728572</w:t>
      </w:r>
    </w:p>
    <w:p>
      <w:r>
        <w:t>EPIC-Potsdam-Studie (750 T2D-Fälle) mit 2204 Teilnehmern untersuchte, ob genetische oder epigenetische Faktoren die schützende Wirkung gesunder Ernährung (AHEI-2010, DASH) auf Typ-2-Diabetes modifizieren.</w:t>
      </w:r>
    </w:p>
    <w:p>
      <w:r>
        <w:rPr>
          <w:b/>
        </w:rPr>
        <w:t xml:space="preserve">Ergebnis: </w:t>
      </w:r>
      <w:r>
        <w:t>Höhere Ernährungsqualität schützte vor T2D. Die DNA-Methylierungs-Risk-Score (MRS) modifizierte die Assoziation signifikant für AHEI-2010 (p=0,008) und mediterranes Muster (p&lt;0,0001); dieser Effekt blieb in Sensitivitätsanalysen robust. Ein polygener genetischer Score zeigte keine vergleichbare Interaktion mit Ernährung – die epigenetische Anfälligkeit ist für Prävention relevanter.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prospektive Kohortendaten, strukturiertes DMP-Setting übertragbar</w:t>
      </w:r>
    </w:p>
    <w:p>
      <w:r>
        <w:rPr>
          <w:color w:val="5A7D3A"/>
          <w:sz w:val="18"/>
        </w:rPr>
        <w:t>https://pubmed.ncbi.nlm.nih.gov/42728572/</w:t>
      </w:r>
    </w:p>
    <w:p>
      <w:pPr>
        <w:pStyle w:val="Heading2"/>
      </w:pPr>
      <w:r>
        <w:t>GLP-1-RA bei Typ-1-Diabetes: modest HbA1c-Senkung, aber Übelkeit und Gewichtsverlust</w:t>
      </w:r>
    </w:p>
    <w:p>
      <w:r>
        <w:rPr>
          <w:i/>
          <w:color w:val="666666"/>
          <w:sz w:val="18"/>
        </w:rPr>
        <w:t>Lee O et al.  ·  Diabetes Obes Metab  ·  10.09.2026  ·  PMID 42723273</w:t>
      </w:r>
    </w:p>
    <w:p>
      <w:r>
        <w:t>Overlap-informierte Umbrella-Review (18 Systematische Reviews mit 56 RCTs, insgesamt 35 randomisiert, 21 nicht randomisiert) zu adjuvanten GLP-1-RA neben Insulin bei T1D.</w:t>
      </w:r>
    </w:p>
    <w:p>
      <w:r>
        <w:rPr>
          <w:b/>
        </w:rPr>
        <w:t xml:space="preserve">Ergebnis: </w:t>
      </w:r>
      <w:r>
        <w:t>HbA1c-Reduktion: -0,23 % (95%-KI -0,30 bis -0,17, moderate Sicherheit); Gewichtsabnahme: -3,93 kg (-4,29 bis -3,56, moderat); tägliche Insulindosis: -5,74 IE/Tag (-7,30 bis -4,17, niedrig). Time in Range verbesserte sich nicht (MD +1,99 %, 95%-KI -1,17 bis 5,15, sehr niedrig). Schwere Hypoglykämie: RR 0,83 (0,36–1,91, niedrig). DKA: RR 0,67 (0,16–2,86, niedrig). Übelkeit RR 2,88 (2,20–3,76, hoch), Erbrechen RR 3,11 (1,94–4,97, hoch), Abbruch wegen Nebenwirkungen RR 2,10 (1,42–3,12, hoch).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RCT-Evidenz, T1D-spezifisch, in Deutschland nicht im DMP vorgesehen</w:t>
      </w:r>
    </w:p>
    <w:p>
      <w:r>
        <w:rPr>
          <w:color w:val="5A7D3A"/>
          <w:sz w:val="18"/>
        </w:rPr>
        <w:t>https://pubmed.ncbi.nlm.nih.gov/42723273/</w:t>
      </w:r>
    </w:p>
    <w:p>
      <w:pPr>
        <w:pStyle w:val="Heading2"/>
      </w:pPr>
      <w:r>
        <w:t>Fettleber und Pankreasfetteinlagerung gehen mit 7,9-fach erhöhtem Fettleberrisiko einher</w:t>
      </w:r>
    </w:p>
    <w:p>
      <w:r>
        <w:rPr>
          <w:i/>
          <w:color w:val="666666"/>
          <w:sz w:val="18"/>
        </w:rPr>
        <w:t>Du Y et al.  ·  Diabetes Res Clin Pract  ·  10.09.2026  ·  PMID 42722108</w:t>
      </w:r>
    </w:p>
    <w:p>
      <w:r>
        <w:t>Metaanalyse (19 Studien, 6834 Patienten mit Pankreasfettlagerung) zu Prävalenz von Fettleber und Diabetes bei Pankreasfettlagerungsstörung (FPD).</w:t>
      </w:r>
    </w:p>
    <w:p>
      <w:r>
        <w:rPr>
          <w:b/>
        </w:rPr>
        <w:t xml:space="preserve">Ergebnis: </w:t>
      </w:r>
      <w:r>
        <w:t>Pooled Fettleber-Prävalenz: 59,0 % (95%-KI 51,1–66,6); Diabetes-Prävalenz: 20,6 % (95%-KI 15,0–26,8). MRI/MRS-Studien berichten höhere Raten (76,5 % Fettleber, 27,7 % Diabetes). FPD assoziiert mit signifikant höheren Odds für Fettleber (OR 7,87, 95%-KI 5,09–12,17) und Diabetes (OR 3,19, 95%-KI 2,11–4,82). Gewichtsverlust bleibt zentrale Strategie.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Daten, China-dominiert, Screening-Algorithmen Deutschland-angepasst machbar</w:t>
      </w:r>
    </w:p>
    <w:p>
      <w:r>
        <w:rPr>
          <w:color w:val="5A7D3A"/>
          <w:sz w:val="18"/>
        </w:rPr>
        <w:t>https://pubmed.ncbi.nlm.nih.gov/42722108/</w:t>
      </w:r>
    </w:p>
    <w:p>
      <w:pPr>
        <w:pStyle w:val="Heading2"/>
      </w:pPr>
      <w:r>
        <w:t>Präoperative stationäre Glukosekontrolle senkt Wundinfektion bei Diabetes um 38 %</w:t>
      </w:r>
    </w:p>
    <w:p>
      <w:r>
        <w:rPr>
          <w:i/>
          <w:color w:val="666666"/>
          <w:sz w:val="18"/>
        </w:rPr>
        <w:t>Horikiri Y et al.  ·  J Diabetes Investig  ·  10.09.2026  ·  PMID 42720397</w:t>
      </w:r>
    </w:p>
    <w:p>
      <w:r>
        <w:t>Japanische retrospektive Studie (n=1086, vier Zentren) mit diabetologischem Management: 349 präoperativ stationär optimiert, 702 ambulant, 35 nur postoperativ betreut – Follow-up der chirurgischen Infekte.</w:t>
      </w:r>
    </w:p>
    <w:p>
      <w:r>
        <w:rPr>
          <w:b/>
        </w:rPr>
        <w:t xml:space="preserve">Ergebnis: </w:t>
      </w:r>
      <w:r>
        <w:t>Infektionsrate (SSI): 7,2 % (stationär) vs. 11,1 % (ambulant) vs. 20,0 % (nur postoperativ); p=0,020. Adjustiertes OR für stationäre Optimierung: 0,62 (95%-KI 0,39–0,99, p=0,044). Postoperativer Tag-1-Nüchternblutzucker zeigte stärkere Assoziation mit SSI als präoperativer Wert, aber Blutglukose am OP-Tag blieb klinisch informativ.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Klinik-Daten, deutsches Klinik-Setting bedingt übertragbar</w:t>
      </w:r>
    </w:p>
    <w:p>
      <w:r>
        <w:rPr>
          <w:color w:val="5A7D3A"/>
          <w:sz w:val="18"/>
        </w:rPr>
        <w:t>https://pubmed.ncbi.nlm.nih.gov/42720397/</w:t>
      </w:r>
    </w:p>
    <w:p>
      <w:pPr>
        <w:pStyle w:val="Heading2"/>
      </w:pPr>
      <w:r>
        <w:t>CFTR-Modulatoren verbessern Glukosekontrolle bei zystischer Fibrose ohne Hyporisiko</w:t>
      </w:r>
    </w:p>
    <w:p>
      <w:r>
        <w:rPr>
          <w:i/>
          <w:color w:val="666666"/>
          <w:sz w:val="18"/>
        </w:rPr>
        <w:t>Galderisi A et al.  ·  J Clin Endocrinol Metab  ·  31.08.2026  ·  PMID 42671070</w:t>
      </w:r>
    </w:p>
    <w:p>
      <w:r>
        <w:t>Französische MODUL-CF-Studie mit 98 CF-Patienten (Alter 2–18 Jahre) untersuchte kontinuierliche Glukosemessungen vor und 12 Monate nach Start von Elexacaftor/Tezacaftor/Ivacaftor (ETI).</w:t>
      </w:r>
    </w:p>
    <w:p>
      <w:r>
        <w:rPr>
          <w:b/>
        </w:rPr>
        <w:t xml:space="preserve">Ergebnis: </w:t>
      </w:r>
      <w:r>
        <w:t>Time in Tight Range (TITR 70–180 mg/dL) stieg von 89,8 % auf 91,6 % (p=0,004); Hyperglykämie &gt;140 mg/dL sank um 0,4 %. Variabilität sank (CV 21,5 % → 19,6 %, p&lt;0,001). Keine DKA oder schwere Hypoglykämie. Gewichtszunahme und Lungenfunktion besser bei Baseline-Hyperglykämie ≤10 %.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spezialisierte Kinderkliniken, seltenes Spezial-Setting</w:t>
      </w:r>
    </w:p>
    <w:p>
      <w:r>
        <w:rPr>
          <w:color w:val="5A7D3A"/>
          <w:sz w:val="18"/>
        </w:rPr>
        <w:t>https://pubmed.ncbi.nlm.nih.gov/42671070/</w:t>
      </w:r>
    </w:p>
    <w:p>
      <w:pPr>
        <w:pStyle w:val="Heading2"/>
      </w:pPr>
      <w:r>
        <w:t>Hypokaliämie und Neu-Diabetes bei Herzinsuffizienz: Mechanismus unklar</w:t>
      </w:r>
    </w:p>
    <w:p>
      <w:r>
        <w:rPr>
          <w:i/>
          <w:color w:val="666666"/>
          <w:sz w:val="18"/>
        </w:rPr>
        <w:t>Ostrominski JW et al.  ·  Diabetes Care  ·  28.08.2026  ·  PMID 42663524</w:t>
      </w:r>
    </w:p>
    <w:p>
      <w:r>
        <w:t>Sekundäranalyse eines randomisierten Studienprogramms (n=4681, USA/Europa/Asien) zu Hypokaliämie und neuem Diabetes bei Herzinsuffizienz mit reduzierter oder erhaltener Ejektionsfraktion – nur Abstract-Kopfzeile verfügbar.</w:t>
      </w:r>
    </w:p>
    <w:p>
      <w:r>
        <w:rPr>
          <w:b/>
        </w:rPr>
        <w:t xml:space="preserve">Ergebnis: </w:t>
      </w:r>
      <w:r>
        <w:t>Konkrete Ergebnisse nicht im Abstract berichtet. Titel signalisiert Assoziation, Daten fehlen.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Daten, USA-dominiert, Mechanismus unklar</w:t>
      </w:r>
    </w:p>
    <w:p>
      <w:r>
        <w:rPr>
          <w:color w:val="5A7D3A"/>
          <w:sz w:val="18"/>
        </w:rPr>
        <w:t>https://pubmed.ncbi.nlm.nih.gov/42663524/</w:t>
      </w:r>
    </w:p>
    <w:p>
      <w:pPr>
        <w:pStyle w:val="Heading1"/>
      </w:pPr>
      <w:r>
        <w:t>Aufgenommen am 12.09.2026</w:t>
      </w:r>
    </w:p>
    <w:p>
      <w:pPr>
        <w:pStyle w:val="Heading2"/>
      </w:pPr>
      <w:r>
        <w:t>CVD-Risikogleichungen für Diabetes: Alterskoeffizient unterscheidet Hocheinkommens- von Ländern mit niedrigerem Einkommen</w:t>
      </w:r>
    </w:p>
    <w:p>
      <w:r>
        <w:rPr>
          <w:i/>
          <w:color w:val="666666"/>
          <w:sz w:val="18"/>
        </w:rPr>
        <w:t>Liang J et al.  ·  BMJ  ·  11.09.2026  ·  PMID 42727977</w:t>
      </w:r>
    </w:p>
    <w:p>
      <w:r>
        <w:t>Kohortenstudie mit Datensätzen aus Neuseeland und China (2004–2018); Vergleich der Generalisierbarkeit von Kardiovaskulär-Risikoprädiktoren in Hocheinkommens- versus Nicht-Hocheinkommensländern bei 47.958 Neuseeländern und 46.558 Chinesen mit Diabetes und ohne CVD in der Vorgeschichte.</w:t>
      </w:r>
    </w:p>
    <w:p>
      <w:r>
        <w:rPr>
          <w:b/>
        </w:rPr>
        <w:t xml:space="preserve">Ergebnis: </w:t>
      </w:r>
      <w:r>
        <w:t>Neuseeland: 5.622 CVD-Ereignisse (11,7%), China: 3.650 (7,8%). Hazard Ratio für Alter pro 10 Jahre: Frauen Neuseeland 1,61 (95% CI 1,51–1,71), China 2,51 (2,32–2,72). Standard-Rekalibrierung verbesserte Kalibrierung in China nicht (E/O-Ratio: 0,938–0,809), Austausch von Alterskoeffizienten jedoch ja (1,027–1,025).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Länderübergreifende Methodik, zeigt Limitationen für Deutschland bei Verwendung internationaler Gleichungen.</w:t>
      </w:r>
    </w:p>
    <w:p>
      <w:r>
        <w:rPr>
          <w:color w:val="5A7D3A"/>
          <w:sz w:val="18"/>
        </w:rPr>
        <w:t>https://pubmed.ncbi.nlm.nih.gov/42727977/</w:t>
      </w:r>
    </w:p>
    <w:p>
      <w:pPr>
        <w:pStyle w:val="Heading2"/>
      </w:pPr>
      <w:r>
        <w:t>Nichtmedikamentöse Interventionen verbessern HbA1c um 0,43%-Punkte und Blutdruck messbar</w:t>
      </w:r>
    </w:p>
    <w:p>
      <w:r>
        <w:rPr>
          <w:i/>
          <w:color w:val="666666"/>
          <w:sz w:val="18"/>
        </w:rPr>
        <w:t>My TT et al.  ·  Diabetes Res Clin Pract  ·  11.09.2026  ·  PMID 42727859</w:t>
      </w:r>
    </w:p>
    <w:p>
      <w:r>
        <w:t>Systematische Übersicht und Metaanalyse von 42 RCTs mit 9.586 Teilnehmern zu Effektivität nichtmedikamentöser Interventionen (psychoedukativ, verhaltenstherapeutisch, Geräte, Telemed) auf Stoffwechselkontrolle bei Typ-2-Diabetes (Primärendpunkt: mindestens 3 Komponenten des metabolischen Syndroms).</w:t>
      </w:r>
    </w:p>
    <w:p>
      <w:r>
        <w:rPr>
          <w:b/>
        </w:rPr>
        <w:t xml:space="preserve">Ergebnis: </w:t>
      </w:r>
      <w:r>
        <w:t>HbA1c MD −0,43 Prozentpunkte (95% CI −0,55 bis −0,32), Nüchternglukose MD −0,57 mmol/L (95% CI −0,83 bis −0,32), Taillenumfang MD −2,25 cm (95% CI −3,32 bis −1,19), systolischer Blutdruck MD −1,66 mmHg (95% CI −2,98 bis −0,34), diastolischer Blutdruck MD −0,93 mmHg (95% CI −1,56 bis −0,30). Triglyceride und HDL nicht signifikant reduziert.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Evidenz, aber mit großer Heterogenität und Vorsicht vor Small-Study-Effekten geboten.</w:t>
      </w:r>
    </w:p>
    <w:p>
      <w:r>
        <w:rPr>
          <w:color w:val="5A7D3A"/>
          <w:sz w:val="18"/>
        </w:rPr>
        <w:t>https://pubmed.ncbi.nlm.nih.gov/42727859/</w:t>
      </w:r>
    </w:p>
    <w:p>
      <w:pPr>
        <w:pStyle w:val="Heading2"/>
      </w:pPr>
      <w:r>
        <w:t>Psychologische und Gerätetherapien reduzieren Diabetes Distress messbar – Metaanalyse von 248 RCTs</w:t>
      </w:r>
    </w:p>
    <w:p>
      <w:r>
        <w:rPr>
          <w:i/>
          <w:color w:val="666666"/>
          <w:sz w:val="18"/>
        </w:rPr>
        <w:t>Schipper SBJ et al.  ·  Diabetologia  ·  11.09.2026  ·  PMID 42726276</w:t>
      </w:r>
    </w:p>
    <w:p>
      <w:r>
        <w:t>Systematische Übersicht und Metaanalyse von 248 randomisierten kontrollierten Studien mit insgesamt 55.497 Teilnehmern zur Wirksamkeit von Interventionen zur Reduktion von Diabetes Distress (emotionale Belastung durch Diabetes-Management) bei Erwachsenen mit Typ-1- oder Typ-2-Diabetes.</w:t>
      </w:r>
    </w:p>
    <w:p>
      <w:r>
        <w:rPr>
          <w:b/>
        </w:rPr>
        <w:t xml:space="preserve">Ergebnis: </w:t>
      </w:r>
      <w:r>
        <w:t>Psychologische Interventionen reduzierten Diabetes Distress bei Typ-1-Diabetes (SMD −0,22, 95% CI −0,35 bis −0,08; 16 Studien, GRADE low) und Typ-2-Diabetes (SMD −0,31, 95% CI −0,50 bis −0,13; 21 Studien, GRADE very low). CGM reduzierte Distress bei Typ-1-Diabetes (SMD −0,26, 95% CI −0,41 bis −0,11; 6 Studien, GRADE moderate). Edukative Interventionen reduzierten Distress bei Typ-2-Diabetes (SMD −0,34, 95% CI −0,56 bis −0,11; 3 Studien, GRADE low). Andere Interventionen zeigten keine signifikanten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EASD-Leitlinie mit europäischen Koautoren, psychologische Interventionen praxisrelevant.</w:t>
      </w:r>
    </w:p>
    <w:p>
      <w:r>
        <w:rPr>
          <w:color w:val="5A7D3A"/>
          <w:sz w:val="18"/>
        </w:rPr>
        <w:t>https://pubmed.ncbi.nlm.nih.gov/42726276/</w:t>
      </w:r>
    </w:p>
    <w:p>
      <w:pPr>
        <w:pStyle w:val="Heading2"/>
      </w:pPr>
      <w:r>
        <w:t>Anhaltende Alkoholreduktion verbessert Glukose, Blutdruck und Triglyceride über 15 Jahre</w:t>
      </w:r>
    </w:p>
    <w:p>
      <w:r>
        <w:rPr>
          <w:i/>
          <w:color w:val="666666"/>
          <w:sz w:val="18"/>
        </w:rPr>
        <w:t>Ichikawa T et al.  ·  Diabetes Obes Metab  ·  09.09.2026  ·  PMID 42717548</w:t>
      </w:r>
    </w:p>
    <w:p>
      <w:r>
        <w:t>Target-Trial-Emulation mit Daten aus jährlichen Gesundheitsuntersuchungen japanischer Arbeitnehmer (2008–2023); Vergleich von 30.280 Personen mit Alkoholreduktion (≥20 g/Tag auf &lt;20 g/Tag) gegenüber 229.946 Kontrollpersonen mit ≥20 g/Tag Baseline-Konsum über 15 Jahre Nachbeobachtung.</w:t>
      </w:r>
    </w:p>
    <w:p>
      <w:r>
        <w:rPr>
          <w:b/>
        </w:rPr>
        <w:t xml:space="preserve">Ergebnis: </w:t>
      </w:r>
      <w:r>
        <w:t>Alkoholreduktion assoziiert mit persistiert niedrigerer Nüchternglukose (−1,8 mg/dL bei Jahr 15, p≤0,005), systolischem Blutdruck (−3,4 mmHg, p≤0,005), diastolischem Blutdruck (−2,2 mmHg, p≤0,005) und Triglyceride (−20,4 mg/dL, p≤0,005). HDL-Cholesterin konsistent niedriger, LDL-Cholesterin moderat höher in der Interventionsgruppe.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Japanische betriebliche Gesundheitsdaten; Lebensstiländerung übertragbar auf deutsche Beratungspraxis.</w:t>
      </w:r>
    </w:p>
    <w:p>
      <w:r>
        <w:rPr>
          <w:color w:val="5A7D3A"/>
          <w:sz w:val="18"/>
        </w:rPr>
        <w:t>https://pubmed.ncbi.nlm.nih.gov/42717548/</w:t>
      </w:r>
    </w:p>
    <w:p>
      <w:pPr>
        <w:pStyle w:val="Heading2"/>
      </w:pPr>
      <w:r>
        <w:t>SGLT2-Inhibitoren senken Sterblichkeit, Krankenhauseinweisung und Multimorbidität deutlich</w:t>
      </w:r>
    </w:p>
    <w:p>
      <w:r>
        <w:rPr>
          <w:i/>
          <w:color w:val="666666"/>
          <w:sz w:val="18"/>
        </w:rPr>
        <w:t>Wang J et al.  ·  Eur J Endocrinol  ·  28.08.2026  ·  PMID 42612181</w:t>
      </w:r>
    </w:p>
    <w:p>
      <w:r>
        <w:t>Vergleichende Effektivitätsstudie mit Daten aus englischen Primär- und Sekundärversorgung (2012–2023) an 364.522 Erwachsenen mit Typ-2-Diabetes, die SGLT2-Inhibitoren oder DPP-4-Inhibitoren neu ansetzten; Endpunkte waren Sterblichkeit, Krankenhausaufnahmen und 59 Langzeiterkrankungen.</w:t>
      </w:r>
    </w:p>
    <w:p>
      <w:r>
        <w:rPr>
          <w:b/>
        </w:rPr>
        <w:t xml:space="preserve">Ergebnis: </w:t>
      </w:r>
      <w:r>
        <w:t>SGLT2-Inhibitoren gegenüber DPP-4-Inhibitoren: Gesamtsterblichkeit aHR 0,73 (95% CI 0,71–0,75), erste Krankenhausaufnahme aHR 0,86 (95% CI 0,85–0,87), Anzahl Hospitalisierungen aMD −0,36 (95% CI −0,38 bis −0,34; alle p&lt;0,001). 28 Erkrankungen mit reduziertem Risiko (Demenz, Krebs, Lebererkrankung, diabetisches Fußulkus, Epilepsie, Rheumatoide Arthritis), 4 mit erhöhtem Risiko (Candidose, DKA).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Englisches NHS-System, übertragbar auf deutsche GKV-Strukturen und DMP.</w:t>
      </w:r>
    </w:p>
    <w:p>
      <w:r>
        <w:rPr>
          <w:color w:val="5A7D3A"/>
          <w:sz w:val="18"/>
        </w:rPr>
        <w:t>https://pubmed.ncbi.nlm.nih.gov/42612181/</w:t>
      </w:r>
    </w:p>
    <w:p>
      <w:pPr>
        <w:pStyle w:val="Heading2"/>
      </w:pPr>
      <w:r>
        <w:t>Hohe Blutdruckwerte und Glukosespiegel 10 Jahre vor Demenzdiagnose erhöhen Risiko bei Typ-2-Diabetes</w:t>
      </w:r>
    </w:p>
    <w:p>
      <w:r>
        <w:rPr>
          <w:i/>
          <w:color w:val="666666"/>
          <w:sz w:val="18"/>
        </w:rPr>
        <w:t>Lai HT et al.  ·  BMJ Open Diabetes Res Care  ·  17.08.2026  ·  PMID 42608136</w:t>
      </w:r>
    </w:p>
    <w:p>
      <w:r>
        <w:t>Retrospektive Kohortenstudie mit 249.958 Erwachsenen mit Typ-2-Diabetes aus England (1999–2018); Untersuchung der Assoziation von 8 kardiometabolischen Markern mit Demenzrisiko, stratifiziert nach Messzeitpunkt (5, 5–10, ≥10 Jahre vor Diagnose).</w:t>
      </w:r>
    </w:p>
    <w:p>
      <w:r>
        <w:rPr>
          <w:b/>
        </w:rPr>
        <w:t xml:space="preserve">Ergebnis: </w:t>
      </w:r>
      <w:r>
        <w:t>22.492 Demenzfälle (1.257.998 Personenjahre). Diastolischer Blutdruck (90 vs. 80 mmHg): 21% höheres Demenzrisiko (95% CI 15–27%). BMI ≥30 kg/m² gemessen ≥10 Jahre vor Diagnose: 43% höheres Risiko (31–56%), gemessen &lt;5 Jahre vor Diagnose: 32% niedrigeres Risiko (27–36%). Höhere Glukose konsistent mit erhöhtem Risiko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Englische Primärversorgungsdaten, ähnliche Dokumentationspflichten wie Deutsche KHSystems.</w:t>
      </w:r>
    </w:p>
    <w:p>
      <w:r>
        <w:rPr>
          <w:color w:val="5A7D3A"/>
          <w:sz w:val="18"/>
        </w:rPr>
        <w:t>https://pubmed.ncbi.nlm.nih.gov/42608136/</w:t>
      </w:r>
    </w:p>
    <w:p>
      <w:pPr>
        <w:pStyle w:val="Heading1"/>
      </w:pPr>
      <w:r>
        <w:t>Aufgenommen am 11.09.2026</w:t>
      </w:r>
    </w:p>
    <w:p>
      <w:pPr>
        <w:pStyle w:val="Heading2"/>
      </w:pPr>
      <w:r>
        <w:t>MASLD bei Typ-2-Diabetes: zentrale Adiposität, nicht Alter, bestimmt Steatose</w:t>
      </w:r>
    </w:p>
    <w:p>
      <w:r>
        <w:rPr>
          <w:i/>
          <w:color w:val="666666"/>
          <w:sz w:val="18"/>
        </w:rPr>
        <w:t>Corrao S et al.  ·  Acta Diabetol  ·  10.09.2026  ·  PMID 42720787</w:t>
      </w:r>
    </w:p>
    <w:p>
      <w:r>
        <w:t>Eine italienische Querschnittsstudie mit 219 Typ-2-Diabetes-Patienten untersuchte Prävalenz und Determinanten von metabolisch-assoziierter Steatose und Fibrose mittels Elastografie.</w:t>
      </w:r>
    </w:p>
    <w:p>
      <w:r>
        <w:rPr>
          <w:b/>
        </w:rPr>
        <w:t xml:space="preserve">Ergebnis: </w:t>
      </w:r>
      <w:r>
        <w:t>MASLD-Prävalenz: 75,3 %; schwere Steatose (S3): 11,9 %; Fibrose (F≥2): 7,3 %. Männliches Geschlecht (OR 2,49) und Taillenumfang (OR 1,04 pro cm) waren unabhängig mit MASLD assoziiert. MASLD-Prävalenz stieg über Taillenumfang-Quartile (Trend p=0,001), Fibrosis zeigte keine Assoziation mit Adiposität (p=0,65). HbA1c und Diabetesdauer waren nicht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– EU-Versorgung; adipositas-fokussiertes Hepatitis-Screening könnte in deutschen DMP integriert werden.</w:t>
      </w:r>
    </w:p>
    <w:p>
      <w:r>
        <w:rPr>
          <w:color w:val="5A7D3A"/>
          <w:sz w:val="18"/>
        </w:rPr>
        <w:t>https://pubmed.ncbi.nlm.nih.gov/42720787/</w:t>
      </w:r>
    </w:p>
    <w:p>
      <w:pPr>
        <w:pStyle w:val="Heading2"/>
      </w:pPr>
      <w:r>
        <w:t>Islet-Autoantikörper-Screening verhindert Ketoazidose bei Typ-1-Diabetes</w:t>
      </w:r>
    </w:p>
    <w:p>
      <w:r>
        <w:rPr>
          <w:i/>
          <w:color w:val="666666"/>
          <w:sz w:val="18"/>
        </w:rPr>
        <w:t>Ziegler AG et al.  ·  Diabetologia  ·  10.09.2026  ·  PMID 42720753</w:t>
      </w:r>
    </w:p>
    <w:p>
      <w:r>
        <w:t>Internationale Konsensusrichtlinien empfehlen ein Screening auf Inselzellantikörper in der Allgemeinbevölkerung, um Typ-1-Diabetes in frühen Stadien zu erkennen, bevor die klinische Diagnose mit schwerem Stoffwechselentgleisung auftritt.</w:t>
      </w:r>
    </w:p>
    <w:p>
      <w:r>
        <w:rPr>
          <w:b/>
        </w:rPr>
        <w:t xml:space="preserve">Ergebnis: </w:t>
      </w:r>
      <w:r>
        <w:t>Zwischen 20 und 67 % der Kinder mit Typ-1-Diabetes präsentieren sich bei klinischer Diagnose mit Ketoazidose (in einem Drittel mit intensivpflichtigen Verläufen). Früherkennung durch Antikörper ermöglicht die Prävention von Ketoazidose und milderere klinische Manifestation mit ausstätiger Insulineinleitung.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Evidenz, in Deutschland noch nicht implementiert – erfordert Screeningstruktur.</w:t>
      </w:r>
    </w:p>
    <w:p>
      <w:r>
        <w:rPr>
          <w:color w:val="5A7D3A"/>
          <w:sz w:val="18"/>
        </w:rPr>
        <w:t>https://pubmed.ncbi.nlm.nih.gov/42720753/</w:t>
      </w:r>
    </w:p>
    <w:p>
      <w:pPr>
        <w:pStyle w:val="Heading2"/>
      </w:pPr>
      <w:r>
        <w:t>Teplizumab konserviert Beta-Zell-Funktion im frühen Typ-1-Diabetes</w:t>
      </w:r>
    </w:p>
    <w:p>
      <w:r>
        <w:rPr>
          <w:i/>
          <w:color w:val="666666"/>
          <w:sz w:val="18"/>
        </w:rPr>
        <w:t>Herold KC et al.  ·  Diabetologia  ·  10.09.2026  ·  PMID 42720752</w:t>
      </w:r>
    </w:p>
    <w:p>
      <w:r>
        <w:t>Eine randomisierte klinische Studie untersuchte, ob die anti-CD3-Monoklonantiköper-Therapie Teplizumab Beta-Zellen vor Zerstörung bewahrt und die Insulinbehandlung reduziert.</w:t>
      </w:r>
    </w:p>
    <w:p>
      <w:r>
        <w:rPr>
          <w:b/>
        </w:rPr>
        <w:t xml:space="preserve">Ergebnis: </w:t>
      </w:r>
      <w:r>
        <w:t>Bei 275 Kindern zeigte Teplizumab signifikant höhere C-Peptid-Werte (0,14 nmol/l Unterschied, p&lt;0,001), Insulindosisreduktion um 0,17 U/kg/Tag und 6,17 % mehr Time in Range gegenüber Placebo bei Woche 78. Die Effekte waren unabhängig vom HLA-Subtyp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Praxisverändernd – FDA-zugelassene Therapie, aber nicht in Deutschland erstattet; könnte zentrale diabetologische Praxen erreichen.</w:t>
      </w:r>
    </w:p>
    <w:p>
      <w:r>
        <w:rPr>
          <w:color w:val="5A7D3A"/>
          <w:sz w:val="18"/>
        </w:rPr>
        <w:t>https://pubmed.ncbi.nlm.nih.gov/42720752/</w:t>
      </w:r>
    </w:p>
    <w:p>
      <w:pPr>
        <w:pStyle w:val="Heading2"/>
      </w:pPr>
      <w:r>
        <w:t>Thalamische Bioenergien-Störung bei schmerzhaftem diabetischen Polyneuropathie-Syndrom</w:t>
      </w:r>
    </w:p>
    <w:p>
      <w:r>
        <w:rPr>
          <w:i/>
          <w:color w:val="666666"/>
          <w:sz w:val="18"/>
        </w:rPr>
        <w:t>Sloan G et al.  ·  Diabetologia  ·  10.09.2026  ·  PMID 42720751</w:t>
      </w:r>
    </w:p>
    <w:p>
      <w:r>
        <w:t>Eine britische MR-Spektroskopie-Studie verglich Hirnstoffwechsel bei schmerzhaften und schmerzlosen Neuropathien, um Mechanismen der Neuropathie-Schmerzentwicklung zu klären.</w:t>
      </w:r>
    </w:p>
    <w:p>
      <w:r>
        <w:rPr>
          <w:b/>
        </w:rPr>
        <w:t xml:space="preserve">Ergebnis: </w:t>
      </w:r>
      <w:r>
        <w:t>Bei 49 Teilnehmern (38 mit T2DM, davon 18 mit schmerzhafter DPN, 11 schmerzlos) zeigte sich bei schmerzhafter DPN höheres NAA:Cholin-Verhältnis (neuronal Function) und signifikant niedrigeres Pi:ATP-Verhältnis (Bioenergien, p&lt;0,05). Schmerzintensität korrelierte mit thalamischem Pi:ATP. Diese Marker könnten objektive neuropathische Schmerzbiomarker für klinische Studien liefern.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Klinikdaten – Mechanismus-Forschung könnte zu neuen DPN-Wirkstoffen führen; noch nicht patientennah implementierbar.</w:t>
      </w:r>
    </w:p>
    <w:p>
      <w:r>
        <w:rPr>
          <w:color w:val="5A7D3A"/>
          <w:sz w:val="18"/>
        </w:rPr>
        <w:t>https://pubmed.ncbi.nlm.nih.gov/42720751/</w:t>
      </w:r>
    </w:p>
    <w:p>
      <w:pPr>
        <w:pStyle w:val="Heading2"/>
      </w:pPr>
      <w:r>
        <w:t>Diabetes-Risikomodelle bedürfen Kalibrierung für Afrika und Europa</w:t>
      </w:r>
    </w:p>
    <w:p>
      <w:r>
        <w:rPr>
          <w:i/>
          <w:color w:val="666666"/>
          <w:sz w:val="18"/>
        </w:rPr>
        <w:t>Smidt MF et al.  ·  Diabetes Obes Metab  ·  01.09.2026  ·  PMID 42681823</w:t>
      </w:r>
    </w:p>
    <w:p>
      <w:r>
        <w:t>Externe Validierung etablierter Diabetes-Präventionsmodelle (u. a. Finnisches Risiko-Modell) in afrikanischen und europäischen Kohorten zeigte, dass alle Modelle schlecht diskriminieren und Risiken unterschätzen.</w:t>
      </w:r>
    </w:p>
    <w:p>
      <w:r>
        <w:rPr>
          <w:b/>
        </w:rPr>
        <w:t xml:space="preserve">Ergebnis: </w:t>
      </w:r>
      <w:r>
        <w:t>Alle fünf getesteten Modelle zeigten schwache Diskrimination (c-Statistic &lt;0,70) und systematische Risikounterschätzung. Nach lokaler Rekalibrierung wurden Kalibrierungsfehler auf ≤2,3 % (RODAM, VIP) bzw. ≤3,4 % (MASC) reduziert. Dysglykämie-Inzidenz variierte stark: 17,7 % (RODAM), 35,0 % (MASC), 27,5 % (VIP).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Kohorten (Schweden, Niederlande); zeigt Grenze globaler Modelle – lokale Anpassung notwendig.</w:t>
      </w:r>
    </w:p>
    <w:p>
      <w:r>
        <w:rPr>
          <w:color w:val="5A7D3A"/>
          <w:sz w:val="18"/>
        </w:rPr>
        <w:t>https://pubmed.ncbi.nlm.nih.gov/42681823/</w:t>
      </w:r>
    </w:p>
    <w:p>
      <w:pPr>
        <w:pStyle w:val="Heading2"/>
      </w:pPr>
      <w:r>
        <w:t>Mütterliches Alter und BMI erhöhen Gestationsdiabetes-Risiko unabhängig</w:t>
      </w:r>
    </w:p>
    <w:p>
      <w:r>
        <w:rPr>
          <w:i/>
          <w:color w:val="666666"/>
          <w:sz w:val="18"/>
        </w:rPr>
        <w:t>Zanardo V et al.  ·  Diabetes Res Clin Pract  ·  22.08.2026  ·  PMID 42632458</w:t>
      </w:r>
    </w:p>
    <w:p>
      <w:r>
        <w:t>Eine italienische Kohorte mit niedriger Parität und verzögerter Fertilität untersuchte unabhängige und kombinierte Effekte dieser Faktoren auf das Gestationsdiabetes-Risiko.</w:t>
      </w:r>
    </w:p>
    <w:p>
      <w:r>
        <w:rPr>
          <w:b/>
        </w:rPr>
        <w:t xml:space="preserve">Ergebnis: </w:t>
      </w:r>
      <w:r>
        <w:t>Von 2.560 Frauen mit später/niedriger Fertilität entwickelten 231 (9,9 %) Gestationsdiabetes. GDM-Prävalenz stieg mit Alter: 36 Jahre (median) bei GDM vs. 33 Jahre bei Kontrollen (p&lt;0,001) und erreichte 16,1 % nach 40 Jahren. BMI bei Geburt war unabhängig assoziiert (27,9 vs. 26,8 kg/m², p&lt;0,05). Keine Alters-Parität-Interaktion.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Daten (Italien), vergleichbare Sozialversicherung – übertragbar auf Deutsche Schwangerenvorsorge.</w:t>
      </w:r>
    </w:p>
    <w:p>
      <w:r>
        <w:rPr>
          <w:color w:val="5A7D3A"/>
          <w:sz w:val="18"/>
        </w:rPr>
        <w:t>https://pubmed.ncbi.nlm.nih.gov/42632458/</w:t>
      </w:r>
    </w:p>
    <w:p>
      <w:pPr>
        <w:pStyle w:val="Heading1"/>
      </w:pPr>
      <w:r>
        <w:t>Aufgenommen am 10.09.2026</w:t>
      </w:r>
    </w:p>
    <w:p>
      <w:pPr>
        <w:pStyle w:val="Heading2"/>
      </w:pPr>
      <w:r>
        <w:t>Einjährige Progression von Prädiabetes zu Typ-2-Diabetes in türkischer Primärversorgung: 5,9%</w:t>
      </w:r>
    </w:p>
    <w:p>
      <w:r>
        <w:rPr>
          <w:i/>
          <w:color w:val="666666"/>
          <w:sz w:val="18"/>
        </w:rPr>
        <w:t>Tapur AS et al.  ·  Prim Care Diabetes  ·  09.09.2026  ·  PMID 42716862</w:t>
      </w:r>
    </w:p>
    <w:p>
      <w:r>
        <w:t>Prospektive Kohortenstudie in der Türkei zu Prädiabetes-Fortschreitung (n=152, Follow-up 1 Jahr) mit Charakterisierung von Progressoren und Nicht-Progressoren.</w:t>
      </w:r>
    </w:p>
    <w:p>
      <w:r>
        <w:rPr>
          <w:b/>
        </w:rPr>
        <w:t xml:space="preserve">Ergebnis: </w:t>
      </w:r>
      <w:r>
        <w:t>Progressionsrate 5,9% (95%-KI 2,7–10,9%, 9 Fälle). Alle 9 Fälle traten bei kombinierter Nüchtern-Glukose- und Glukosetoleranzstörung auf. Progressoren hatten höher BMI, Taillenumfang, Nüchternglukose, HbA1c und 2-h-Glukose. 2-h-Glukose zeigte stärkste Trennung; alle Befunde aufgrund niedriger Fallzahl unvalidiert und hypothesengenerierend.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Primärversorgung Türkei; Transferierbarkeit limitiert (kleine Fallzahl, keine Validierung)</w:t>
      </w:r>
    </w:p>
    <w:p>
      <w:r>
        <w:rPr>
          <w:color w:val="5A7D3A"/>
          <w:sz w:val="18"/>
        </w:rPr>
        <w:t>https://pubmed.ncbi.nlm.nih.gov/42716862/</w:t>
      </w:r>
    </w:p>
    <w:p>
      <w:pPr>
        <w:pStyle w:val="Heading2"/>
      </w:pPr>
      <w:r>
        <w:t>10-kHz Rückenmarkstimulation lindert Schmerz und bessert Nervenfunktion bei diabetischer Neuropathie</w:t>
      </w:r>
    </w:p>
    <w:p>
      <w:r>
        <w:rPr>
          <w:i/>
          <w:color w:val="666666"/>
          <w:sz w:val="18"/>
        </w:rPr>
        <w:t>Hurley RW et al.  ·  Diabetes Care  ·  09.09.2026  ·  PMID 42713876</w:t>
      </w:r>
    </w:p>
    <w:p>
      <w:r>
        <w:t>Randomisierte Kontrollstudie (PDN-Sensory) zur hochfrequenten Rückenmarkstimulation gegen konventionelle Behandlung bei schmerzhafter diabetischer Neuropathie mit Schmerzlinderung und sensorischen Endpunkten.</w:t>
      </w:r>
    </w:p>
    <w:p>
      <w:r>
        <w:rPr>
          <w:b/>
        </w:rPr>
        <w:t xml:space="preserve">Ergebnis: </w:t>
      </w:r>
      <w:r>
        <w:t>Schmerzlinderung ≥50% erreichten 79% (27/34) der Stimulationsgruppe vs. 4% (2/50) Kontrollen (p&lt;0,001). Sensorische Verbesserung (≥3-Punkte-Reduktion mTCNS) in 55% vs. 25% (p=0,01). Mittlere Zunahme der intraepidermalen Nervenfaserdichte +0,58 Fasern/mm vs. –0,07 in der Kontrollgruppe (p=0,03). Primär- und 8 von 10 sekundären Endpunkten erreicht.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USA/angelsächsisches System; Sicherheits- und Wirksamkeitsdaten geographieunabhängig</w:t>
      </w:r>
    </w:p>
    <w:p>
      <w:r>
        <w:rPr>
          <w:color w:val="5A7D3A"/>
          <w:sz w:val="18"/>
        </w:rPr>
        <w:t>https://pubmed.ncbi.nlm.nih.gov/42713876/</w:t>
      </w:r>
    </w:p>
    <w:p>
      <w:pPr>
        <w:pStyle w:val="Heading2"/>
      </w:pPr>
      <w:r>
        <w:t>Mortalität bei diabetischem Fusssyndrom höher als bei Krebs in drei internationalen Kohorten</w:t>
      </w:r>
    </w:p>
    <w:p>
      <w:r>
        <w:rPr>
          <w:i/>
          <w:color w:val="666666"/>
          <w:sz w:val="18"/>
        </w:rPr>
        <w:t>Zeng Q et al.  ·  Diabetes Metab Res Rev  ·  Sept. 2026  ·  PMID 42708860</w:t>
      </w:r>
    </w:p>
    <w:p>
      <w:r>
        <w:t>Vergleich der Sterblichkeit von Patienten mit diabetischem Fusssyndrom und verschiedenen Krebsarten anhand von Daten aus NHANES, UK Biobank und einer chinesischen Diabetes-Registry.</w:t>
      </w:r>
    </w:p>
    <w:p>
      <w:r>
        <w:rPr>
          <w:b/>
        </w:rPr>
        <w:t xml:space="preserve">Ergebnis: </w:t>
      </w:r>
      <w:r>
        <w:t>Patienten mit diabetischem Fusssyndrom hatten eine um 38 bis 499% höhere Sterblichkeit als Patienten mit Krebs insgesamt (Hazard Ratios 1,35–10,69 je nach Kohort und Krebsart). Die Sterblichkeit des diabetischen Fusssyndroms war ähnlich wie bei Dickdarm-, Lymph- und Nierenkarzinom und niedriger nur als bei Lungen-, Pankreas- und Leberkarzinom. Eine eindrucksvolle Demonstration der schwerwiegenden Prognose dieser Komplikation.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Kohortenanalyse; Konsequenz für Priorisierung von Versorgungsressourcen und Prävention</w:t>
      </w:r>
    </w:p>
    <w:p>
      <w:r>
        <w:rPr>
          <w:color w:val="5A7D3A"/>
          <w:sz w:val="18"/>
        </w:rPr>
        <w:t>https://pubmed.ncbi.nlm.nih.gov/42708860/</w:t>
      </w:r>
    </w:p>
    <w:p>
      <w:pPr>
        <w:pStyle w:val="Heading2"/>
      </w:pPr>
      <w:r>
        <w:t>Glukosemessung identifiziert Typ-1-Diabetes in frühen Stadien und Schnellfortschrittler</w:t>
      </w:r>
    </w:p>
    <w:p>
      <w:r>
        <w:rPr>
          <w:i/>
          <w:color w:val="666666"/>
          <w:sz w:val="18"/>
        </w:rPr>
        <w:t>Weiss A et al.  ·  Diabetologia  ·  07.09.2026  ·  PMID 42704479</w:t>
      </w:r>
    </w:p>
    <w:p>
      <w:r>
        <w:t>Kontinuierliche Glukosemessung mit FreeStyle Libre Pro iQ bei Kindern mit und ohne Diabetesautoantikörpern zur Unterscheidung von Krankheitsstadien und zur Risikoschichtung.</w:t>
      </w:r>
    </w:p>
    <w:p>
      <w:r>
        <w:rPr>
          <w:b/>
        </w:rPr>
        <w:t xml:space="preserve">Ergebnis: </w:t>
      </w:r>
      <w:r>
        <w:t>Bei frühem Typ-1-Diabetes hatten 22% (Stadium 1) und 52% (Stadium 2) erhöhte Glukoseparameter (oberhalb 97,5. Perzentil). Bei der Metrik »Zeit &gt;140 mg/dL« (TA140) &gt;15% wurden 75–100% der innerhalb eines Jahres zu klinischem Diabetes Fortschreitenden erkannt (Sensitivität). Systemabhängig variierende Referenzwerte erfordern Harmonisierung vor klinischer Anwendung.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Studiengruppe Fr1da (München); Transfer in deutsche Früherkennung realistisch</w:t>
      </w:r>
    </w:p>
    <w:p>
      <w:r>
        <w:rPr>
          <w:color w:val="5A7D3A"/>
          <w:sz w:val="18"/>
        </w:rPr>
        <w:t>https://pubmed.ncbi.nlm.nih.gov/42704479/</w:t>
      </w:r>
    </w:p>
    <w:p>
      <w:pPr>
        <w:pStyle w:val="Heading2"/>
      </w:pPr>
      <w:r>
        <w:t>Soziale Ungleichheit bei Gestationsdiabetes und Komplikationslast in Schweden</w:t>
      </w:r>
    </w:p>
    <w:p>
      <w:r>
        <w:rPr>
          <w:i/>
          <w:color w:val="666666"/>
          <w:sz w:val="18"/>
        </w:rPr>
        <w:t>Kaegi-Braun N et al.  ·  J Clin Endocrinol Metab  ·  07.09.2026  ·  PMID 42702813</w:t>
      </w:r>
    </w:p>
    <w:p>
      <w:r>
        <w:t>Nationale Kohortenstudie zu Assoziation von Herkunft, Bildung, Einkommen mit Gestationsdiabetes-Prävalenz und Komplikationen in 938.798 Schwangerschaften (2015–2023).</w:t>
      </w:r>
    </w:p>
    <w:p>
      <w:r>
        <w:rPr>
          <w:b/>
        </w:rPr>
        <w:t xml:space="preserve">Ergebnis: </w:t>
      </w:r>
      <w:r>
        <w:t>Gestationsdiabetes-Prävalenz stieg von 1,5% (2015) auf 6,6% (2023), steepest bei Migrationshintergrund, niedrigerer Bildung und niedrigerem Einkommen. Relative Assoziationen mit Schwangerschafts- und geburtshilflichen Komplikationen waren bei niedrigerer Bildung stärker (p-Interaktion=0,029, 0,038). Assoziation varierte nach Herkunftsregion; Absolute Risiken aber nicht uniformly niedriger bei Migrantinnen.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Registers; Vergleichbar mit deutschem Sozialversicherungssystem und Versorgungsauftrag</w:t>
      </w:r>
    </w:p>
    <w:p>
      <w:r>
        <w:rPr>
          <w:color w:val="5A7D3A"/>
          <w:sz w:val="18"/>
        </w:rPr>
        <w:t>https://pubmed.ncbi.nlm.nih.gov/42702813/</w:t>
      </w:r>
    </w:p>
    <w:p>
      <w:pPr>
        <w:pStyle w:val="Heading2"/>
      </w:pPr>
      <w:r>
        <w:t>Amputation bei Typ-2-Diabetes: 2,5-faches Herz-Kreislauf-Sterberisiko im Folgejahr</w:t>
      </w:r>
    </w:p>
    <w:p>
      <w:r>
        <w:rPr>
          <w:i/>
          <w:color w:val="666666"/>
          <w:sz w:val="18"/>
        </w:rPr>
        <w:t>Bergqvist K et al.  ·  Cardiovasc Diabetol  ·  24.08.2026  ·  PMID 42649507</w:t>
      </w:r>
    </w:p>
    <w:p>
      <w:r>
        <w:t>Bevölkerungsstudie zur kardiovaskulären Prognose nach Amputation bei Typ-2-Diabetes anhand des Schwedischen Nationaldiabetesregisters (2006–2019) mit Matching auf 13.940 Kontrollen ohne Amputation.</w:t>
      </w:r>
    </w:p>
    <w:p>
      <w:r>
        <w:rPr>
          <w:b/>
        </w:rPr>
        <w:t xml:space="preserve">Ergebnis: </w:t>
      </w:r>
      <w:r>
        <w:t>Adjustierte Hazard Ratios für Amputierte: Gesamtsterblichkeit 2,46 (95%-KI 2,31–2,61), kardiovaskuläre Sterblichkeit 2,43 (2,18–2,71), Herzinsuffizienz 2,13 (1,92–2,36), Myokardinfarkt 1,79 (1,55–2,08), Schlaganfall 1,52 (1,31–1,76). Im ersten Jahr nach Amputation &gt;3-fach erhöht, nach 5 Jahren noch um 50% erhöht.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Schwedisches Gesundheitssystem, nationale Registers; übertragbar auf deutsches Versicherungsregime</w:t>
      </w:r>
    </w:p>
    <w:p>
      <w:r>
        <w:rPr>
          <w:color w:val="5A7D3A"/>
          <w:sz w:val="18"/>
        </w:rPr>
        <w:t>https://pubmed.ncbi.nlm.nih.gov/42649507/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Diabetes</dc:title>
  <dc:subject/>
  <dc:creator>Monitor Versorgungsforschung</dc:creator>
  <cp:keywords/>
  <dc:description>generated by python-docx</dc:description>
  <cp:lastModifiedBy/>
  <cp:revision>1</cp:revision>
  <dcterms:created xsi:type="dcterms:W3CDTF">2026-09-18T06:00:00Z</dcterms:created>
  <dcterms:modified xsi:type="dcterms:W3CDTF">2026-09-18T06:00:00Z</dcterms:modified>
  <cp:category/>
</cp:coreProperties>
</file>