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13.10.2026  |  5 Studien  |  diabetes.m-vf.de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Schlechter Schlaf erhöht Typ-2-Diabetes-Risiko – Schlafmuster-Übergänge entscheidend</w:t>
      </w:r>
    </w:p>
    <w:p>
      <w:r>
        <w:rPr>
          <w:i/>
          <w:color w:val="666666"/>
          <w:sz w:val="18"/>
        </w:rPr>
        <w:t>Zhang Y et al.  ·  Diabetes Metab Res Rev  ·  Okt. 2026  ·  PMID 42861867</w:t>
      </w:r>
    </w:p>
    <w:p>
      <w:r>
        <w:t>Longitudinale Analyse von 60.249 UK-Biobank-Teilnehmern zur Assoziation von Schlafqualitäts-Übergängen zwischen zwei Erhebungen mit Diabetes-Inzidenz.</w:t>
      </w:r>
    </w:p>
    <w:p>
      <w:r>
        <w:rPr>
          <w:b/>
        </w:rPr>
        <w:t xml:space="preserve">Ergebnis: </w:t>
      </w:r>
      <w:r>
        <w:t>Über 4,2 Jahre traten 1.284 Diabetes-Fälle auf. Stabiler schlechter Schlaf war mit erhöhtem Risiko assoziiert (HR 2,07, 95%-KI 1,32–3,27). Verbesserungen vom schlechten oder mittleren Schlafstatus zeigten kein erhöhtes Risiko gegenüber stabiler Kategorie. Die Assoziation war nichtlinear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 Dokumentation; Schlafqualität ist modifizierbarer Risikofaktor</w:t>
      </w:r>
    </w:p>
    <w:p>
      <w:r>
        <w:rPr>
          <w:color w:val="5A7D3A"/>
          <w:sz w:val="18"/>
        </w:rPr>
        <w:t>https://pubmed.ncbi.nlm.nih.gov/42861867/</w:t>
      </w:r>
    </w:p>
    <w:p>
      <w:pPr>
        <w:pStyle w:val="Heading2"/>
      </w:pPr>
      <w:r>
        <w:t>Bariatrische Chirurgie: BMI ≥50 zeigt höhere Diabetes-Remissionsrate</w:t>
      </w:r>
    </w:p>
    <w:p>
      <w:r>
        <w:rPr>
          <w:i/>
          <w:color w:val="666666"/>
          <w:sz w:val="18"/>
        </w:rPr>
        <w:t>Zhen XM et al.  ·  Diabet Med  ·  10.10.2026  ·  PMID 42857893</w:t>
      </w:r>
    </w:p>
    <w:p>
      <w:r>
        <w:t>Kohortenstudie von 2018–2024 an australischem Tertiärkrankenhaus: Vergleich der kompletten Diabetes-Remission (HbA1c&lt;6,0%) nach bariatrischer Chirurgie zwischen BMI≥50 und BMI&lt;50 kg/m² bei Typ-2-Diabetes.</w:t>
      </w:r>
    </w:p>
    <w:p>
      <w:r>
        <w:rPr>
          <w:b/>
        </w:rPr>
        <w:t xml:space="preserve">Ergebnis: </w:t>
      </w:r>
      <w:r>
        <w:t>Nach 12 Monaten: BMI≥50-Gruppe 66,7% vs. BMI&lt;50-Gruppe 37,8% komplette Remission (p=0,014). Nach Adjustierung für Diabetes-Dauer und Baseline-HbA1c nicht mehr signifikant. BMI≥50 hatte höheren Gewichtsverlust (kg) aber niedrigeres %EWL; keines war unabhängiger Remissions-Prädiktor.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frühe chirurgische Intervention bei weniger fortgeschrittener Diabetes trotz höherer Adipositas relevant</w:t>
      </w:r>
    </w:p>
    <w:p>
      <w:r>
        <w:rPr>
          <w:color w:val="5A7D3A"/>
          <w:sz w:val="18"/>
        </w:rPr>
        <w:t>https://pubmed.ncbi.nlm.nih.gov/42857893/</w:t>
      </w:r>
    </w:p>
    <w:p>
      <w:pPr>
        <w:pStyle w:val="Heading2"/>
      </w:pPr>
      <w:r>
        <w:t>Framework für vollständige Closed-Loop-Systeme: &gt;50–90% Time in Tight Range</w:t>
      </w:r>
    </w:p>
    <w:p>
      <w:r>
        <w:rPr>
          <w:i/>
          <w:color w:val="666666"/>
          <w:sz w:val="18"/>
        </w:rPr>
        <w:t>Marks BE et al.  ·  Diabetes Technol Ther  ·  09.10.2026  ·  PMID 42854204</w:t>
      </w:r>
    </w:p>
    <w:p>
      <w:r>
        <w:t>Expertenkonsens international führender Kliniker und Forscher zur Definition vollständig automatisierter Insulinabgabe ohne Mahlzeiten- oder Aktivitätsankündigungen und deren Leistungsstandards.</w:t>
      </w:r>
    </w:p>
    <w:p>
      <w:r>
        <w:rPr>
          <w:b/>
        </w:rPr>
        <w:t xml:space="preserve">Ergebnis: </w:t>
      </w:r>
      <w:r>
        <w:t>Drei-Klassen-Definition: Alle FCL-Systeme müssen &gt;50% Time in Tight Range (70–140 mg/dL), &lt;1% Time Below Range (&lt;54 mg/dL) erreichen und validierte Lebensqualitäts-Messungen verbessern. Klasse 3: &gt;50% TITR; Klasse 2: &gt;70%; Klasse 1: &gt;90% TITR. Klasse 1a zusätzlich: 0% TBR bei standardisierter Bewegung.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konsensbasiert; Benchmarks für Technologie-Bewertung und Zulassung übertragbar</w:t>
      </w:r>
    </w:p>
    <w:p>
      <w:r>
        <w:rPr>
          <w:color w:val="5A7D3A"/>
          <w:sz w:val="18"/>
        </w:rPr>
        <w:t>https://pubmed.ncbi.nlm.nih.gov/42854204/</w:t>
      </w:r>
    </w:p>
    <w:p>
      <w:pPr>
        <w:pStyle w:val="Heading2"/>
      </w:pPr>
      <w:r>
        <w:t>Ascorbinsäure und Exercise beeinflussen CGM-Genauigkeit nicht klinisch relevant</w:t>
      </w:r>
    </w:p>
    <w:p>
      <w:r>
        <w:rPr>
          <w:i/>
          <w:color w:val="666666"/>
          <w:sz w:val="18"/>
        </w:rPr>
        <w:t>Brazg R et al.  ·  Diabetes Ther  ·  09.10.2026  ·  PMID 42853347</w:t>
      </w:r>
    </w:p>
    <w:p>
      <w:r>
        <w:t>Randomisierte Doppelblind-Studie mit 16 Typ-1-Diabetes-Patienten zur Prüfung von Interferenzen durch Bewegung und Ascorbinsäure auf CGM-Messgenauigkeit (iCan System mit GDH-FAD).</w:t>
      </w:r>
    </w:p>
    <w:p>
      <w:r>
        <w:rPr>
          <w:b/>
        </w:rPr>
        <w:t xml:space="preserve">Ergebnis: </w:t>
      </w:r>
      <w:r>
        <w:t>Im Gesamtbereich (35–450 mg/dL): 92,0% Genauigkeit (%20/20). Mittlere absolute Differenz (MAD) bei Bewegung/ohne: −1,3 mg/dL; bei Ascorbinsäure/ohne: −1,1 mg/dL. Mittlere absolute relative Differenz (MARD) −1,5% bzw. −1,6%. Keine klinisch relevanten Unterschiede, keine schwerwiegenden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USA/China; technische Validierung relevant für CGM-Zuverlässigkeit im Alltag</w:t>
      </w:r>
    </w:p>
    <w:p>
      <w:r>
        <w:rPr>
          <w:color w:val="5A7D3A"/>
          <w:sz w:val="18"/>
        </w:rPr>
        <w:t>https://pubmed.ncbi.nlm.nih.gov/42853347/</w:t>
      </w:r>
    </w:p>
    <w:p>
      <w:pPr>
        <w:pStyle w:val="Heading2"/>
      </w:pPr>
      <w:r>
        <w:t>KI-gestützte Retinal-Analyse verbessert Diabetes-Prädiktion über ADART hinaus</w:t>
      </w:r>
    </w:p>
    <w:p>
      <w:r>
        <w:rPr>
          <w:i/>
          <w:color w:val="666666"/>
          <w:sz w:val="18"/>
        </w:rPr>
        <w:t>Yang X et al.  ·  Diabetes Res Clin Pract  ·  06.10.2026  ·  PMID 42838141</w:t>
      </w:r>
    </w:p>
    <w:p>
      <w:r>
        <w:t>Analyse von UK Biobank (n=63.968) und BRAVE-Kohort (n=1.159) zur inkrementellen prädiktiven Kraft von KI-abgeleiteten retinalen Gefäßparametern für Typ-2-Diabetes-Inzidenz über hinaus Diabetes Association Risk Test.</w:t>
      </w:r>
    </w:p>
    <w:p>
      <w:r>
        <w:rPr>
          <w:b/>
        </w:rPr>
        <w:t xml:space="preserve">Ergebnis: </w:t>
      </w:r>
      <w:r>
        <w:t>Retinale arterielle fraktale Dimension (FDa) und Tortuosität (atts) unabhängig mit Diabetes assoziiert. UK Biobank-Validierung: C-Index 0,746→0,751 (Δ=0,005; 95%-KI 0,003–0,008); kontinuierliche NRI 0,258. BRAVE extern: C-Index 0,618→0,631 (Δ=0,013; 95%-KI 0,009–0,016).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UK/China; retinales Imaging als Screening-Instrument, aber Kosteneffektivität und Implementierung offen</w:t>
      </w:r>
    </w:p>
    <w:p>
      <w:r>
        <w:rPr>
          <w:color w:val="5A7D3A"/>
          <w:sz w:val="18"/>
        </w:rPr>
        <w:t>https://pubmed.ncbi.nlm.nih.gov/42838141/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