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15.10.2026  |  6 Studien  |  diabetes.m-vf.de</w:t>
      </w:r>
    </w:p>
    <w:p>
      <w:pPr>
        <w:pStyle w:val="Heading1"/>
      </w:pPr>
      <w:r>
        <w:t>Aufgenommen am 15.10.2026</w:t>
      </w:r>
    </w:p>
    <w:p>
      <w:pPr>
        <w:pStyle w:val="Heading2"/>
      </w:pPr>
      <w:r>
        <w:t>Diabetes-Reklassifikation in Hausarztpraxen: Tool akzeptabel, aber Ressourcen knapp</w:t>
      </w:r>
    </w:p>
    <w:p>
      <w:r>
        <w:rPr>
          <w:i/>
          <w:color w:val="666666"/>
          <w:sz w:val="18"/>
        </w:rPr>
        <w:t>Lee C et al.  ·  Diabet Med  ·  14.10.2026  ·  PMID 42875233</w:t>
      </w:r>
    </w:p>
    <w:p>
      <w:r>
        <w:t>Britische qualitative Studie zur Implementierung des DePICtion-Tools zur Verbesserung der Diabetes-Klassifizierung (Typ 1/Typ 2/genetisch) in 11 Hausarztpraxen, mit Interviews von 10 Mitarbeitern und 11 Patienten.</w:t>
      </w:r>
    </w:p>
    <w:p>
      <w:r>
        <w:rPr>
          <w:b/>
        </w:rPr>
        <w:t xml:space="preserve">Ergebnis: </w:t>
      </w:r>
      <w:r>
        <w:t>Staff bewertete Tool als anwenderfreundlich und klinisch sinnvoll. Patienten-Reaktionen gespalten: Einige sahen Reklassifikation als Bedrohung ihrer Identität, andere begrüßten weitere Tests. Hauptbarriere: fehlende Zeitressourcen und mangelnde strukturierte Nachverfolgungswege; Datenschutzbedenken minimal.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UK-Praxen, vergleichbar mit deutschen Hausarztpraxen; Transfer erfordert geschützte Zeit und klare Überweisungspfade.</w:t>
      </w:r>
    </w:p>
    <w:p>
      <w:r>
        <w:rPr>
          <w:color w:val="5A7D3A"/>
          <w:sz w:val="18"/>
        </w:rPr>
        <w:t>https://pubmed.ncbi.nlm.nih.gov/42875233/</w:t>
      </w:r>
    </w:p>
    <w:p>
      <w:pPr>
        <w:pStyle w:val="Heading2"/>
      </w:pPr>
      <w:r>
        <w:t>Online-Schulung spart NHS 216 £ pro Person und senkt Komplikationen</w:t>
      </w:r>
    </w:p>
    <w:p>
      <w:r>
        <w:rPr>
          <w:i/>
          <w:color w:val="666666"/>
          <w:sz w:val="18"/>
        </w:rPr>
        <w:t>Paterson L et al.  ·  Diabet Med  ·  14.10.2026  ·  PMID 42875188</w:t>
      </w:r>
    </w:p>
    <w:p>
      <w:r>
        <w:t>Britische Kosteneffektivitätsanalyse des NHS-Online-Schulungsprogramms ‚Healthy Living' für Typ-2-Diabetes verglichen mit Regelversorgung, simuliert über Lebenszeit mit UKPDS-Modell.</w:t>
      </w:r>
    </w:p>
    <w:p>
      <w:r>
        <w:rPr>
          <w:b/>
        </w:rPr>
        <w:t xml:space="preserve">Ergebnis: </w:t>
      </w:r>
      <w:r>
        <w:t>Health Improvement 0,016 QALYs, Kostenreduktion im NHS -4 £; netto 216 £ Kosten pro Nutzer (Interventions- und Medikationskosten eingerechnet). Kosten-pro-QALY 13.192 £ (unter NICE-Schwelle 25.000 £/QALY); Robustheit in Sensitivitätsanalysen nachgewiesen.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NHS-Daten, sozialversichertes System; unmittelbar auf Deutschland übertragbar, wenn ähnliche Versorgungsstruktur.</w:t>
      </w:r>
    </w:p>
    <w:p>
      <w:r>
        <w:rPr>
          <w:color w:val="5A7D3A"/>
          <w:sz w:val="18"/>
        </w:rPr>
        <w:t>https://pubmed.ncbi.nlm.nih.gov/42875188/</w:t>
      </w:r>
    </w:p>
    <w:p>
      <w:pPr>
        <w:pStyle w:val="Heading2"/>
      </w:pPr>
      <w:r>
        <w:t>Teleophthalmologie erhöht Screening-Quote bei diabetischer Retinopathie um 97 %</w:t>
      </w:r>
    </w:p>
    <w:p>
      <w:r>
        <w:rPr>
          <w:i/>
          <w:color w:val="666666"/>
          <w:sz w:val="18"/>
        </w:rPr>
        <w:t>Chen KY et al.  ·  Diabetes Res Clin Pract  ·  14.10.2026  ·  PMID 42874783</w:t>
      </w:r>
    </w:p>
    <w:p>
      <w:r>
        <w:t>Systematische Übersichtsarbeit und Metaanalyse von 33 Studien zu technologiegestütztem Screening auf diabetische Retinopathie (Teleophthalmologie, digitale Bildgebung) vs. übliche Versorgung.</w:t>
      </w:r>
    </w:p>
    <w:p>
      <w:r>
        <w:rPr>
          <w:b/>
        </w:rPr>
        <w:t xml:space="preserve">Ergebnis: </w:t>
      </w:r>
      <w:r>
        <w:t>Teleophthalmologie vs. Standardversorgung: RR 1,966 (95%-KI 1,451-2,664) für Screening-Teilnahme; Adherence zu augenärztlichen Kontrollen OR 2,464 (95%-KI 1,477-4,112). Ungradierbare Bilder 7,4 %; fortgeschrittene Bildgebung: Sensitivität 97,59 %, Spezifität 91,22 %. Ökonomische Evaluationen unterstützten Kosteneffektivität/Kosteneinsparung.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Studien, verschiedene Gesundheitssysteme; Befund zur Versorgungseffizienz systemunabhängig relevant.</w:t>
      </w:r>
    </w:p>
    <w:p>
      <w:r>
        <w:rPr>
          <w:color w:val="5A7D3A"/>
          <w:sz w:val="18"/>
        </w:rPr>
        <w:t>https://pubmed.ncbi.nlm.nih.gov/42874783/</w:t>
      </w:r>
    </w:p>
    <w:p>
      <w:pPr>
        <w:pStyle w:val="Heading2"/>
      </w:pPr>
      <w:r>
        <w:t>Sterblichkeit bei Typ-1-Diabetes: Frauen stärker gefährdet als Männer</w:t>
      </w:r>
    </w:p>
    <w:p>
      <w:r>
        <w:rPr>
          <w:i/>
          <w:color w:val="666666"/>
          <w:sz w:val="18"/>
        </w:rPr>
        <w:t>Vinograd A et al.  ·  Diabetes Care  ·  14.10.2026  ·  PMID 42873598</w:t>
      </w:r>
    </w:p>
    <w:p>
      <w:r>
        <w:t>Israelische Kohortenstudie mit 4.299 Typ-1-Diabetes-Patienten (Diagnose vor 35 Jahren, 2000-2022) verglichen mit 17.196 Kontrollen, Nachfolge bis 2023.</w:t>
      </w:r>
    </w:p>
    <w:p>
      <w:r>
        <w:rPr>
          <w:b/>
        </w:rPr>
        <w:t xml:space="preserve">Ergebnis: </w:t>
      </w:r>
      <w:r>
        <w:t>Mortalität 131,0 pro 100.000 Personen-Jahre bei Diabetes vs. 35,2 bei Kontrollen (HR 3,66; 95%-KI 2,53-5,31). Exzess-Mortalität bei Frauen signifikant höher (aHR 8,40 vs. 2,90 bei Männern; p-Interaktion 0,02). Bei Diagnose 2011-2022 geringeres Risiko als 2000-2010 (aHR 2,94 vs. 4,36).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Daten, Gesundheitssystem mit Registerdokumentation; Befund zu Geschlechtsunterschieden unabhängig von Finanzierung.</w:t>
      </w:r>
    </w:p>
    <w:p>
      <w:r>
        <w:rPr>
          <w:color w:val="5A7D3A"/>
          <w:sz w:val="18"/>
        </w:rPr>
        <w:t>https://pubmed.ncbi.nlm.nih.gov/42873598/</w:t>
      </w:r>
    </w:p>
    <w:p>
      <w:pPr>
        <w:pStyle w:val="Heading2"/>
      </w:pPr>
      <w:r>
        <w:t>Gestationsdiabetes in Italien: Screening-Lücken bei Hochrisikopatientinnen</w:t>
      </w:r>
    </w:p>
    <w:p>
      <w:r>
        <w:rPr>
          <w:i/>
          <w:color w:val="666666"/>
          <w:sz w:val="18"/>
        </w:rPr>
        <w:t>Da Porto A et al.  ·  Acta Diabetol  ·  14.10.2026  ·  PMID 42873312</w:t>
      </w:r>
    </w:p>
    <w:p>
      <w:r>
        <w:t>Italienische Real-World-Analyse von 13.487 Frauen mit Gestationsdiabetes aus diabetes-spezialisierten Kliniken 2025; Screening-Praktiken, Therapie und perinatale Outcomes dokumentiert.</w:t>
      </w:r>
    </w:p>
    <w:p>
      <w:r>
        <w:rPr>
          <w:b/>
        </w:rPr>
        <w:t xml:space="preserve">Ergebnis: </w:t>
      </w:r>
      <w:r>
        <w:t>Durchschnittsalter 33,6±5,4 Jahre; 28,1 % Übergewicht, 24,9 % Adipositas vor Schwangerschaft. 20,3 % erfüllten Hochrisiko-Kriterien für Früh-Screening, aber nur 15,2 % wurden in empfohlenem Fenster (16-18. Woche) getestet; Standard-OGTT 24-28. Woche: 51,5 %. Diät allein 63,9 %, Insulin 33,1 %, Metformin 5,6 %; Sectiorate 30 %, Einleitung 33,6 %. Postpartale Glukoseuntersuchung nur bei 3,1 %.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Universitätskliniken, vergleichbares europäisches System; Screening-Defizite und Nachsorgelücken sind grenzübergreifend relevant.</w:t>
      </w:r>
    </w:p>
    <w:p>
      <w:r>
        <w:rPr>
          <w:color w:val="5A7D3A"/>
          <w:sz w:val="18"/>
        </w:rPr>
        <w:t>https://pubmed.ncbi.nlm.nih.gov/42873312/</w:t>
      </w:r>
    </w:p>
    <w:p>
      <w:pPr>
        <w:pStyle w:val="Heading2"/>
      </w:pPr>
      <w:r>
        <w:t>Glukosemessung bei Kindern: CGM-System in 7-17-Jährigen sicher und genau</w:t>
      </w:r>
    </w:p>
    <w:p>
      <w:r>
        <w:rPr>
          <w:i/>
          <w:color w:val="666666"/>
          <w:sz w:val="18"/>
        </w:rPr>
        <w:t>Link M et al.  ·  J Diabetes Sci Technol  ·  14.10.2026  ·  PMID 42872793</w:t>
      </w:r>
    </w:p>
    <w:p>
      <w:r>
        <w:t>Deutsche Multizenterstudie prüfte Genauigkeit und Sicherheit des CareSens-Air-CGM-Systems über 15 Tage bei Kindern und Jugendlichen mit Typ-1-Diabetes.</w:t>
      </w:r>
    </w:p>
    <w:p>
      <w:r>
        <w:rPr>
          <w:b/>
        </w:rPr>
        <w:t xml:space="preserve">Ergebnis: </w:t>
      </w:r>
      <w:r>
        <w:t>Bei 7-17-Jährigen: 90,8 % der Werte im Accuracy-Grid Zone A/B; MARD 8,9 %; Sensorüberlebensrate 75,2 %. Bei 2-6-Jährigen: 86,6-98,4 % Accuracy; MARD 7,8-10,3 %. Keine schwerwiegenden Nebenwirkungen, milde lokale Hautreaktionen. Leistung vergleichbar mit Erwachsenendaten.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Kliniken, validierte Datengrundlage, unmittelbar auf deutsches Versorgungssystem übertragbar.</w:t>
      </w:r>
    </w:p>
    <w:p>
      <w:r>
        <w:rPr>
          <w:color w:val="5A7D3A"/>
          <w:sz w:val="18"/>
        </w:rPr>
        <w:t>https://pubmed.ncbi.nlm.nih.gov/42872793/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2026-10-15T06:00:00Z</dcterms:created>
  <dcterms:modified xsi:type="dcterms:W3CDTF">2026-10-15T06:00:00Z</dcterms:modified>
  <cp:category/>
</cp:coreProperties>
</file>