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16.10.2026  |  6 Studien  |  diabetes.m-vf.de</w:t>
      </w:r>
    </w:p>
    <w:p>
      <w:pPr>
        <w:pStyle w:val="Heading1"/>
      </w:pPr>
      <w:r>
        <w:t>Aufgenommen am 16.10.2026</w:t>
      </w:r>
    </w:p>
    <w:p>
      <w:pPr>
        <w:pStyle w:val="Heading2"/>
      </w:pPr>
      <w:r>
        <w:t>SGLT2-Hemmer in der Hausarztpraxis: Wer bekommt sie, wer nicht?</w:t>
      </w:r>
    </w:p>
    <w:p>
      <w:r>
        <w:rPr>
          <w:i/>
          <w:color w:val="666666"/>
          <w:sz w:val="18"/>
        </w:rPr>
        <w:t>Kostev K et al.  ·  Diabetes Obes Metab  ·  15.10.2026  ·  PMID 42881121</w:t>
      </w:r>
    </w:p>
    <w:p>
      <w:r>
        <w:t>Analyse von 69.284 Patienten aus deutschem Primärbereich mit neu diagnostiziertem Typ-2-Diabetes zur Frage, welche patientenbezogenen und praxisbezogenen Faktoren die Initiierung von SGLT2-Inhibitoren beeinflussen.</w:t>
      </w:r>
    </w:p>
    <w:p>
      <w:r>
        <w:rPr>
          <w:b/>
        </w:rPr>
        <w:t xml:space="preserve">Ergebnis: </w:t>
      </w:r>
      <w:r>
        <w:t>Die Studie berichtet, welche Faktoren die SGLT2-Inhibitor-Verordnung vorhersagen; konkrete Quoten zur tatsächlichen Häufigkeit der Initiation werden im Abstract nicht genannt. Die Arbeit identifiziert Versorgungsmuster in Deutschland, ohne Outcome zu bewerten.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Primärversorgung, Real-World-Daten aus elektronischen Patientenakten</w:t>
      </w:r>
    </w:p>
    <w:p>
      <w:r>
        <w:rPr>
          <w:color w:val="5A7D3A"/>
          <w:sz w:val="18"/>
        </w:rPr>
        <w:t>https://pubmed.ncbi.nlm.nih.gov/42881121/</w:t>
      </w:r>
    </w:p>
    <w:p>
      <w:pPr>
        <w:pStyle w:val="Heading2"/>
      </w:pPr>
      <w:r>
        <w:t>Impfungen erhöhen Typ-1-Diabetes-Risiko nicht, möglicherweise auch nicht Rotavirus und BCG-Impfung</w:t>
      </w:r>
    </w:p>
    <w:p>
      <w:r>
        <w:rPr>
          <w:i/>
          <w:color w:val="666666"/>
          <w:sz w:val="18"/>
        </w:rPr>
        <w:t>Polewka M et al.  ·  Diabetes Res Clin Pract  ·  15.10.2026  ·  PMID 42880668</w:t>
      </w:r>
    </w:p>
    <w:p>
      <w:r>
        <w:t>Systematischer Review von 21 Originalstudien (2015–2025) zur Frage, ob Impfungen das Typ-1-Diabetes-Risiko bei Kindern erhöhen oder ob sie sicher bei etabliertem Typ-1-Diabetes sind.</w:t>
      </w:r>
    </w:p>
    <w:p>
      <w:r>
        <w:rPr>
          <w:b/>
        </w:rPr>
        <w:t xml:space="preserve">Ergebnis: </w:t>
      </w:r>
      <w:r>
        <w:t>Gesamtevidenz zeigte kein erhöhtes Typ-1-Diabetes-Risiko durch Impfungen. Fünf Studien deuteten sogar auf mögliche Schutzeffekte von Rotavirus- oder BCG-Impfung hin. Influenza- und SARS-CoV-2-Impfstoffe waren sicher bei etabliertem Typ-1-Diabetes, Nebenwirkungen überwiegend mild und vorübergehend. Einige Studien zeigten reduzierte Hospitalisierungsraten und weniger Infektionskomplikationen bei geimpften Personen. Impfungen sind bei Kindern mit oder Risiko für Typ-1-Diabetes sicher und können von Vorteil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Systematischer Review, internationale Evidenz, sehr hohe Relevanz für deutsche Impfpraxis und Elternaufklärung</w:t>
      </w:r>
    </w:p>
    <w:p>
      <w:r>
        <w:rPr>
          <w:color w:val="5A7D3A"/>
          <w:sz w:val="18"/>
        </w:rPr>
        <w:t>https://pubmed.ncbi.nlm.nih.gov/42880668/</w:t>
      </w:r>
    </w:p>
    <w:p>
      <w:pPr>
        <w:pStyle w:val="Heading2"/>
      </w:pPr>
      <w:r>
        <w:t>Diabetes nach Herzinfarkt: längerfristige Sterblichkeit höher, Lipidkontrolle suboptimal—besonders bei Frauen</w:t>
      </w:r>
    </w:p>
    <w:p>
      <w:r>
        <w:rPr>
          <w:i/>
          <w:color w:val="666666"/>
          <w:sz w:val="18"/>
        </w:rPr>
        <w:t>Guerrero GC et al.  ·  Diabetes Res Clin Pract  ·  15.10.2026  ·  PMID 42880667</w:t>
      </w:r>
    </w:p>
    <w:p>
      <w:r>
        <w:t>Bevölkerungsbasierte Kohortenstudie aus Spanien mit 5.361 Patienten und erstem ACS-Ereignis (2016–2024), medianes Follow-up 4,9 Jahre; Fokus auf Langzeitsterblichkeit und LDL-Cholesterin-Zielwerte nach ESC/EAS.</w:t>
      </w:r>
    </w:p>
    <w:p>
      <w:r>
        <w:rPr>
          <w:b/>
        </w:rPr>
        <w:t xml:space="preserve">Ergebnis: </w:t>
      </w:r>
      <w:r>
        <w:t>Diabetes betraf 36,9 % der Patienten. Während ACS-Hospitalisierungsraten jährlich um 8,3 % sanken (95 % KI 6,1–10,4) ohne Diabetes-Zeit-Interaktion (p = 0,17), war Diabetes in der Langzeitfolge mit erhöhter Gesamtmortalität assoziiert (bereinigtes HR 1,22; 95 % KI 1,11–1,33); die Assoziation war stärker bei Frauen als Männern (Interaktion p = 0,009). Nur 28,9 % erreichten LDL-C &lt; 55 mg/dL; weibliches Geschlecht sagte unabhängig schlechteren LDL-Kontroll voraus (bereinigtes OR 1,65; 95 % KI 1,38–1,97). Persistente Lücken in der Sekundärprävention, besonders bei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Gesundheitsdaten, vergleichbares Versorgungssystem, hohe Übertragbarkeit auf Deutschland</w:t>
      </w:r>
    </w:p>
    <w:p>
      <w:r>
        <w:rPr>
          <w:color w:val="5A7D3A"/>
          <w:sz w:val="18"/>
        </w:rPr>
        <w:t>https://pubmed.ncbi.nlm.nih.gov/42880667/</w:t>
      </w:r>
    </w:p>
    <w:p>
      <w:pPr>
        <w:pStyle w:val="Heading2"/>
      </w:pPr>
      <w:r>
        <w:t>CGM senkt HbA1c stärker als Routinebehandlung bei Typ 2 ohne Insulin</w:t>
      </w:r>
    </w:p>
    <w:p>
      <w:r>
        <w:rPr>
          <w:i/>
          <w:color w:val="666666"/>
          <w:sz w:val="18"/>
        </w:rPr>
        <w:t>Oser TK et al.  ·  N Engl J Med  ·  14.10.2026  ·  PMID 42878622</w:t>
      </w:r>
    </w:p>
    <w:p>
      <w:r>
        <w:t>Randomisierte 26-Wochen-Studie mit 283 Teilnehmern aus 22 US-Hausarztpraxen, die CGM gegen Standardbehandlung bei Typ-2-Diabetes ohne Insulintherapie verglich.</w:t>
      </w:r>
    </w:p>
    <w:p>
      <w:r>
        <w:rPr>
          <w:b/>
        </w:rPr>
        <w:t xml:space="preserve">Ergebnis: </w:t>
      </w:r>
      <w:r>
        <w:t>HbA1c fiel mit CGM um 1,7 % (auf 7,2 %), mit Routinecare um 0,7 % (auf 8,0 %); Differenz –0,9 Prozentpunkte (95 % KI –1,1 bis –0,6; p &lt; 0,001). Time in Range 70–180 mg/dL war 21 Prozentpunkte höher mit CGM; schwere Hypoglykämien traten nicht auf. CGM verbessert Stoffwechselkontrolle deutlich auch ohne Insulin, ohne dass Hypoglykämierisiko ansteigt.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Hausarztpraxen, Übertragung auf deutsches Primary-Care-Setting plausibel</w:t>
      </w:r>
    </w:p>
    <w:p>
      <w:r>
        <w:rPr>
          <w:color w:val="5A7D3A"/>
          <w:sz w:val="18"/>
        </w:rPr>
        <w:t>https://pubmed.ncbi.nlm.nih.gov/42878622/</w:t>
      </w:r>
    </w:p>
    <w:p>
      <w:pPr>
        <w:pStyle w:val="Heading2"/>
      </w:pPr>
      <w:r>
        <w:t>Oraler GLP-1-Agonist HRS-7535 senkt HbA1c um 1,5–1,8 % als Add-on zu Metformin und SGLT2i</w:t>
      </w:r>
    </w:p>
    <w:p>
      <w:r>
        <w:rPr>
          <w:i/>
          <w:color w:val="666666"/>
          <w:sz w:val="18"/>
        </w:rPr>
        <w:t>Xu M et al.  ·  Diabetologia  ·  14.10.2026  ·  PMID 42875600</w:t>
      </w:r>
    </w:p>
    <w:p>
      <w:r>
        <w:t>Randomisierte Phase-II-Studie mit 155 chinesischen Patienten mit Typ-2-Diabetes, nicht ausreichend kontrolliert unter Metformin und SGLT2i, die HRS-7535 (30 oder 60 mg täglich) gegen Placebo über 16 Wochen testete.</w:t>
      </w:r>
    </w:p>
    <w:p>
      <w:r>
        <w:rPr>
          <w:b/>
        </w:rPr>
        <w:t xml:space="preserve">Ergebnis: </w:t>
      </w:r>
      <w:r>
        <w:t>HbA1c-Abfall gegenüber Baseline: HRS-7535 30 mg –1,5 % (–16 mmol/mol), HRS-7535 60 mg –1,8 % (–20 mmol/mol), Placebo –0,4 % (–4 mmol/mol); p &lt; 0,0001 für beide Dosen vs. Placebo. HbA1c &lt; 7,0 % erreichten 51 % (30 mg) und 66 % (60 mg) vs. 9,8 % Placebo. Gewichtsverlust –2,4 % unter 60 mg vs. –0,7 % Placebo. Nebenwirkungen überwiegend mild bis moderat, gastrointestinal; keine schweren Hypoglykämien.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Phase-II-Daten aus China, Wirksamkeit vielversprechend, Transfer auf deutsches Setting abhängig von Zulassung und DMP-Berücksichtigung</w:t>
      </w:r>
    </w:p>
    <w:p>
      <w:r>
        <w:rPr>
          <w:color w:val="5A7D3A"/>
          <w:sz w:val="18"/>
        </w:rPr>
        <w:t>https://pubmed.ncbi.nlm.nih.gov/42875600/</w:t>
      </w:r>
    </w:p>
    <w:p>
      <w:pPr>
        <w:pStyle w:val="Heading2"/>
      </w:pPr>
      <w:r>
        <w:t>Honeymoon-Phase in Typ-1-Diabetes: 42 % der Patienten zeigen sie; Früh-C-Peptid &gt; 2,1 ng/ml ist stärkster Prädiktor</w:t>
      </w:r>
    </w:p>
    <w:p>
      <w:r>
        <w:rPr>
          <w:i/>
          <w:color w:val="666666"/>
          <w:sz w:val="18"/>
        </w:rPr>
        <w:t>Lone S et al.  ·  Diabetes Res Clin Pract  ·  13.10.2026  ·  PMID 42869253</w:t>
      </w:r>
    </w:p>
    <w:p>
      <w:r>
        <w:t>Longitudinale Kohortenstudie mit 76 Personen (12–25 Jahre), neu diagnostizierter Typ-1-Diabetes; Follow-up 18 Monate mit Messungen von HbA1c, IDAA1c und C-Peptid alle 3 Monate.</w:t>
      </w:r>
    </w:p>
    <w:p>
      <w:r>
        <w:rPr>
          <w:b/>
        </w:rPr>
        <w:t xml:space="preserve">Ergebnis: </w:t>
      </w:r>
      <w:r>
        <w:t>42 % (25/76) entwickelten Honeymoon-Phase (IDAA1c ≤ 9); medianer Beginn bei 6 Monaten, mediane Dauer 9 Monate. 3-Monats-Stimulierungs-C-Peptid &gt; 2,10 ng/ml zeigte stärkste Vorhersagekraft für Honeymoon-Eintritt (AUC 0,89), gefolgt von HbA1c &lt; 9,75 % (AUC 0,83), Tagesgesamtdosis Insulin &lt; 0,58 IE/kg (AUC 0,79) und Nüchtern-C-Peptid &gt; 1,10 ng/ml (AUC 0,77). Diese frühen Marker könnten Patienten identifizieren, die für β-Zell-erhaltende Interventionen kandidieren.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Indische Tertiärpraxis, Relevanz primär für Grundlagen-Verständnis; Prädiktion könnte auf europäische Kohorten übertragbar sein</w:t>
      </w:r>
    </w:p>
    <w:p>
      <w:r>
        <w:rPr>
          <w:color w:val="5A7D3A"/>
          <w:sz w:val="18"/>
        </w:rPr>
        <w:t>https://pubmed.ncbi.nlm.nih.gov/42869253/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2026-10-16T06:00:00Z</dcterms:created>
  <dcterms:modified xsi:type="dcterms:W3CDTF">2026-10-16T06:00:00Z</dcterms:modified>
  <cp:category/>
</cp:coreProperties>
</file>