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01.10.2026  |  6 Studien  |  diabetes.m-vf.de</w:t>
      </w:r>
    </w:p>
    <w:p>
      <w:pPr>
        <w:pStyle w:val="Heading1"/>
      </w:pPr>
      <w:r>
        <w:t>Aufgenommen am 01.10.2026</w:t>
      </w:r>
    </w:p>
    <w:p>
      <w:pPr>
        <w:pStyle w:val="Heading2"/>
      </w:pPr>
      <w:r>
        <w:t>Günstiges Schlafmuster senkt Risiko für postpartale Glukoseintoleranz nach GDM</w:t>
      </w:r>
    </w:p>
    <w:p>
      <w:r>
        <w:rPr>
          <w:i/>
          <w:color w:val="666666"/>
          <w:sz w:val="18"/>
        </w:rPr>
        <w:t>Fang Q et al.  ·  Diabetes Obes Metab  ·  30.09.2026  ·  PMID 42816443</w:t>
      </w:r>
    </w:p>
    <w:p>
      <w:r>
        <w:t>Prospektive Kohortenstudie in Guangzhou (n=897 Frauen mit GDM 2022–2024) zu Schlafmustern (Dauer, Chronotyp, Qualität, Nickerchen) und postpartaler Glukoseintoleranz (OGTT 4–12 Wochen postpartum).</w:t>
      </w:r>
    </w:p>
    <w:p>
      <w:r>
        <w:rPr>
          <w:b/>
        </w:rPr>
        <w:t xml:space="preserve">Ergebnis: </w:t>
      </w:r>
      <w:r>
        <w:t>28,4% entwickelten postpartale Glukoseintoleranz. Gesundes vs. ungesundes Schlafmuster: RR 0,70 (95%-KI 0,54–0,92). Nüchternglukose (β: −0,158; 95%-KI −0,239 bis −0,078). Höchstes Risiko bei unhealthy sleep + high genetic risk.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modifizierbarer Risikofaktor in Hochrisikogruppe</w:t>
      </w:r>
    </w:p>
    <w:p>
      <w:r>
        <w:rPr>
          <w:color w:val="5A7D3A"/>
          <w:sz w:val="18"/>
        </w:rPr>
        <w:t>https://pubmed.ncbi.nlm.nih.gov/42816443/</w:t>
      </w:r>
    </w:p>
    <w:p>
      <w:pPr>
        <w:pStyle w:val="Heading2"/>
      </w:pPr>
      <w:r>
        <w:t>Orforglipron zeigt kardiovaskuläre Sicherheit bei Typ-2-Diabetes mit erhöhtem Risiko</w:t>
      </w:r>
    </w:p>
    <w:p>
      <w:r>
        <w:rPr>
          <w:i/>
          <w:color w:val="666666"/>
          <w:sz w:val="18"/>
        </w:rPr>
        <w:t>Klein KR et al.  ·  Lancet  ·  30.09.2026  ·  PMID 42815506</w:t>
      </w:r>
    </w:p>
    <w:p>
      <w:r>
        <w:t>Event-gesteuerte Phase-3-Studie mit 2749 Personen mit Typ-2-Diabetes und erhöhtem kardiovaskulärem Risiko: orales GLP-1-Rezeptor-Agonisten-Monomer orforglipron versus Insulin glargin.</w:t>
      </w:r>
    </w:p>
    <w:p>
      <w:r>
        <w:rPr>
          <w:b/>
        </w:rPr>
        <w:t xml:space="preserve">Ergebnis: </w:t>
      </w:r>
      <w:r>
        <w:t>Nicht-Unterlegenheit für MACE-4 bestätigt (HR 0,84; 95%-KI 0,59–1,20; p&lt;0,0001). Gastrointestinale Nebenwirkungen bei 62,1% vs. 14,2% unter Insulin; klinisch signifikante Hypoglykämie bei 6,8% vs. 19,2%. 19 (1,4%) versus 43 (3,2%) Todesfälle (davon nur einer kausal).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USA-System; kardiovaskulärer Sicherheitsbefund ist übertragbar</w:t>
      </w:r>
    </w:p>
    <w:p>
      <w:r>
        <w:rPr>
          <w:color w:val="5A7D3A"/>
          <w:sz w:val="18"/>
        </w:rPr>
        <w:t>https://pubmed.ncbi.nlm.nih.gov/42815506/</w:t>
      </w:r>
    </w:p>
    <w:p>
      <w:pPr>
        <w:pStyle w:val="Heading2"/>
      </w:pPr>
      <w:r>
        <w:t>Mauritius zeigt: Typ-2-Diabetes-Prävalenz kann sinken</w:t>
      </w:r>
    </w:p>
    <w:p>
      <w:r>
        <w:rPr>
          <w:i/>
          <w:color w:val="666666"/>
          <w:sz w:val="18"/>
        </w:rPr>
        <w:t>Tuomilehto J et al.  ·  Lancet Diabetes Endocrinol  ·  30.09.2026  ·  PMID 42815503</w:t>
      </w:r>
    </w:p>
    <w:p>
      <w:r>
        <w:t>Wiederholte Bevölkerungsquerschnitte in Mauritius 1987–2021 (n=36.744) mit standardisiertem oralen Glukosetoleranztest zum Trend der Typ-2-Diabetes- und Zwischenhyperglykämie-Prävalenz.</w:t>
      </w:r>
    </w:p>
    <w:p>
      <w:r>
        <w:rPr>
          <w:b/>
        </w:rPr>
        <w:t xml:space="preserve">Ergebnis: </w:t>
      </w:r>
      <w:r>
        <w:t>Typ-2-Diabetes-Prävalenz stieg von 14,7% (1987) auf 23,3% (2009), sank aber auf 19,9% (2021). Zwischenhyperglykämie sank von 24,9% (2009) auf 15,6% (2021). Anteil Neudiagnosen sank von 67,0% (1987) auf 32,5% (2021).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Länderübergreifend, OGTT-basierte WHO-Standards; Machbarkeit strukturierter Surveillance</w:t>
      </w:r>
    </w:p>
    <w:p>
      <w:r>
        <w:rPr>
          <w:color w:val="5A7D3A"/>
          <w:sz w:val="18"/>
        </w:rPr>
        <w:t>https://pubmed.ncbi.nlm.nih.gov/42815503/</w:t>
      </w:r>
    </w:p>
    <w:p>
      <w:pPr>
        <w:pStyle w:val="Heading2"/>
      </w:pPr>
      <w:r>
        <w:t>Frühe kardio-renale Prävention bei Typ-2-Diabetes: Barrieren und Potenziale</w:t>
      </w:r>
    </w:p>
    <w:p>
      <w:r>
        <w:rPr>
          <w:i/>
          <w:color w:val="666666"/>
          <w:sz w:val="18"/>
        </w:rPr>
        <w:t>Bucciarelli L et al.  ·  Acta Diabetol  ·  30.09.2026  ·  PMID 42814157</w:t>
      </w:r>
    </w:p>
    <w:p>
      <w:r>
        <w:t>Italienische PRECARE NO LiMITS-Initiative: Beschreibung von Leitlinien und Real-World-Einsatz von SGLT2i und GLP-1-RA bei frühen kardio-renalen Risikosignalen durch Klinikerdaten und Expertenrunden.</w:t>
      </w:r>
    </w:p>
    <w:p>
      <w:r>
        <w:rPr>
          <w:b/>
        </w:rPr>
        <w:t xml:space="preserve">Ergebnis: </w:t>
      </w:r>
      <w:r>
        <w:t>T1-Umfrage (nach 6 Monaten) zeigte höheren Anteil, der SGLT2i bei Albuminurie und leicht reduzierter eGFR erwägt. Persistente Barrieren: HbA1c als Haupttreiber, Unsicherheit über Timing, Komplexität, Zugang. Explorativ; kein Effektmaß, aber Aufzeigung therapeutischer Trägheit.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EU-System; Implementierungsherausforderungen</w:t>
      </w:r>
    </w:p>
    <w:p>
      <w:r>
        <w:rPr>
          <w:color w:val="5A7D3A"/>
          <w:sz w:val="18"/>
        </w:rPr>
        <w:t>https://pubmed.ncbi.nlm.nih.gov/42814157/</w:t>
      </w:r>
    </w:p>
    <w:p>
      <w:pPr>
        <w:pStyle w:val="Heading2"/>
      </w:pPr>
      <w:r>
        <w:t>Empagliflozin und Dapagliflozin bei MASLD: vergleichbare hepatische Ergebnisse</w:t>
      </w:r>
    </w:p>
    <w:p>
      <w:r>
        <w:rPr>
          <w:i/>
          <w:color w:val="666666"/>
          <w:sz w:val="18"/>
        </w:rPr>
        <w:t>Kim S et al.  ·  Diabetologia  ·  30.09.2026  ·  PMID 42814151</w:t>
      </w:r>
    </w:p>
    <w:p>
      <w:r>
        <w:t>Südkoreanische Anspruchsdaten 2016–2023: Kophorte mit MASLD und Typ-2-Diabetes (n=101.487 nach 1:1-Matching); Vergleich empagliflozin vs. dapagliflozin auf hepatische Ergebnisse.</w:t>
      </w:r>
    </w:p>
    <w:p>
      <w:r>
        <w:rPr>
          <w:b/>
        </w:rPr>
        <w:t xml:space="preserve">Ergebnis: </w:t>
      </w:r>
      <w:r>
        <w:t>Empagliflozin marginal höher für MASLD-Regression (HR 1,06; 95%-KI 1,00–1,11). Dekompensierte hepatische Ereignisse vergleichbar (HR 0,99; 95%-KI 0,94–1,03). Keine signifikanten Unterschiede in Dose-gestratifizierten Analysen.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ähnliches Versicherungssystem; Real-World-Vergleich zweier SGLT2i</w:t>
      </w:r>
    </w:p>
    <w:p>
      <w:r>
        <w:rPr>
          <w:color w:val="5A7D3A"/>
          <w:sz w:val="18"/>
        </w:rPr>
        <w:t>https://pubmed.ncbi.nlm.nih.gov/42814151/</w:t>
      </w:r>
    </w:p>
    <w:p>
      <w:pPr>
        <w:pStyle w:val="Heading2"/>
      </w:pPr>
      <w:r>
        <w:t>SGLT2i+Metformin und GLP-1-RA sind gleichermaßen wirksam als initiale Therapie</w:t>
      </w:r>
    </w:p>
    <w:p>
      <w:r>
        <w:rPr>
          <w:i/>
          <w:color w:val="666666"/>
          <w:sz w:val="18"/>
        </w:rPr>
        <w:t>Cavalcante Lima Chagas G et al.  ·  Diabetes Obes Metab  ·  29.09.2026  ·  PMID 42811398</w:t>
      </w:r>
    </w:p>
    <w:p>
      <w:r>
        <w:t>Bayesianische Netzwerk-Metaanalyse von 24 RCT (n=8.947) zu zeitgenössischen initialen Glukose-Senkungsstrategien bei Typ-2-Diabetes.</w:t>
      </w:r>
    </w:p>
    <w:p>
      <w:r>
        <w:rPr>
          <w:b/>
        </w:rPr>
        <w:t xml:space="preserve">Ergebnis: </w:t>
      </w:r>
      <w:r>
        <w:t>Versus Placebo: SGLT2i+Metformin reduzierte HbA1c um −1,36% (95%-KrI −1,91 bis −0,82); GLP-1-RA/duales Inkretinagonist −1,25% (95%-KrI −1,68 bis −0,83); SGLT2i −0,76% (95%-KrI −1,10 bis −0,41). Indirekte Vergleiche und sehr niedrige Evidenzsicherheit; Gewichtsverlust größer mit GLP-1-RA (−4,74%).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Evidenz; keine Überlegenheit einer Strategie etabliert</w:t>
      </w:r>
    </w:p>
    <w:p>
      <w:r>
        <w:rPr>
          <w:color w:val="5A7D3A"/>
          <w:sz w:val="18"/>
        </w:rPr>
        <w:t>https://pubmed.ncbi.nlm.nih.gov/42811398/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2026-10-01T06:00:00Z</dcterms:created>
  <dcterms:modified xsi:type="dcterms:W3CDTF">2026-10-01T06:00:00Z</dcterms:modified>
  <cp:category/>
</cp:coreProperties>
</file>