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27.09.2026  |  6 Studien  |  diabetes.m-vf.de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Räumliche Co-Auftreten von Typ-2-Diabetes und fettleibiger Lebererkrankung: Gemeinsame Risikofaktoren identifiziert</w:t>
      </w:r>
    </w:p>
    <w:p>
      <w:r>
        <w:rPr>
          <w:i/>
          <w:color w:val="666666"/>
          <w:sz w:val="18"/>
        </w:rPr>
        <w:t>Pan J et al.  ·  Endocrine  ·  26.09.2026  ·  PMID 42799817</w:t>
      </w:r>
    </w:p>
    <w:p>
      <w:r>
        <w:t>Globale Analyse der räumlichen Muster und gemeinsamen Risikofaktoren von Typ-2-Diabetes und metabolisch dysfunktionaler steatotischer Lebererkrankung (MASLD) auf Basis der Global Burden of Disease Study 2021.</w:t>
      </w:r>
    </w:p>
    <w:p>
      <w:r>
        <w:rPr>
          <w:b/>
        </w:rPr>
        <w:t xml:space="preserve">Ergebnis: </w:t>
      </w:r>
      <w:r>
        <w:t>Von 204 Ländern waren 59 in konsistenten, 71 in Typ-2-Diabetes-dominanten und 74 in MASLD-dominanten Regionen klassifiziert. Neun Risikofaktoren zeigten substanzielle Effekte: 42,9% der Typ-2-Diabetes-Inzidenz und 52,41% der MASLD-Inzidenz waren auf kumulative Risikofaktor-Exposition zurückzuführen. Typ-2-Diabetes war primär metabolischen (PAF 35,28%) und Verhaltensfaktoren (11,78%) zuzuordnen; MASLD vor allem Verhaltensfaktoren (28,84%) und Umweltfaktoren (21,65%).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geografische Heterogenität erfordert lokale Adaption; Co-Management-Ansatz in DMP-Programmen relevant.</w:t>
      </w:r>
    </w:p>
    <w:p>
      <w:r>
        <w:rPr>
          <w:color w:val="5A7D3A"/>
          <w:sz w:val="18"/>
        </w:rPr>
        <w:t>https://pubmed.ncbi.nlm.nih.gov/42799817/</w:t>
      </w:r>
    </w:p>
    <w:p>
      <w:pPr>
        <w:pStyle w:val="Heading2"/>
      </w:pPr>
      <w:r>
        <w:t>Bewegungstiming bei Typ-2-Diabetes-Risiko: Konsistente Evidenz fehlt, frühere Aktivität zeigt günstigere Glukoseergebnisse</w:t>
      </w:r>
    </w:p>
    <w:p>
      <w:r>
        <w:rPr>
          <w:i/>
          <w:color w:val="666666"/>
          <w:sz w:val="18"/>
        </w:rPr>
        <w:t>de Kam SS et al.  ·  Diabetologia  ·  26.09.2026  ·  PMID 42799754</w:t>
      </w:r>
    </w:p>
    <w:p>
      <w:r>
        <w:t>Narratives Review zur Wirkung von Zeitpunkt und Häufigkeit körperlicher Aktivität auf Glukosehomöostase und Insulinempfindlichkeit bei Personen mit erhöhtem Typ-2-Diabetes-Risiko.</w:t>
      </w:r>
    </w:p>
    <w:p>
      <w:r>
        <w:rPr>
          <w:b/>
        </w:rPr>
        <w:t xml:space="preserve">Ergebnis: </w:t>
      </w:r>
      <w:r>
        <w:t>Aktuelle Evidenz zum Timing körperlicher Aktivität zeigt inkonsistente Ergebnisse – mehrere Studien berichten keine signifikanten zeitabhängigen Unterschiede, andere deuten auf günstigere Glukose- und Insulinempfindlichkeitsergebnisse bei später am Tag durchgeführter Aktivität hin. Körperkomposition scheint vom Timing unabhängig zu sein. Heterogene Studiendesigns und Wissenslücken zu Geschlechtsspezifika, Chronotyp und realer Machbarkeit begrenzen die 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Niederlande/Deutschland (DZZ), Multiländer-Konsortium, vergleichbare Versorgungsstrukturen.</w:t>
      </w:r>
    </w:p>
    <w:p>
      <w:r>
        <w:rPr>
          <w:color w:val="5A7D3A"/>
          <w:sz w:val="18"/>
        </w:rPr>
        <w:t>https://pubmed.ncbi.nlm.nih.gov/42799754/</w:t>
      </w:r>
    </w:p>
    <w:p>
      <w:pPr>
        <w:pStyle w:val="Heading2"/>
      </w:pPr>
      <w:r>
        <w:t>M1-Makrophagen-Exosomen verschärfen diabetische Nephropathie durch WTAP/S1PR2-Achse</w:t>
      </w:r>
    </w:p>
    <w:p>
      <w:r>
        <w:rPr>
          <w:i/>
          <w:color w:val="666666"/>
          <w:sz w:val="18"/>
        </w:rPr>
        <w:t>Li L et al.  ·  J Diabetes Investig  ·  26.09.2026  ·  PMID 42798279</w:t>
      </w:r>
    </w:p>
    <w:p>
      <w:r>
        <w:t>Präklinische Mechanismus-Studie in Mausmodell zur Rolle von M1-Makrophagen-abgeleiteten Exosomen bei der diabetischen Nephropathie über m6A-abhängige mRNA-Stabilisierung.</w:t>
      </w:r>
    </w:p>
    <w:p>
      <w:r>
        <w:rPr>
          <w:b/>
        </w:rPr>
        <w:t xml:space="preserve">Ergebnis: </w:t>
      </w:r>
      <w:r>
        <w:t>Im db/db-Maus-Modell verbesserte WTAP-defiziente Exosom-Therapie Nierenfunktion, reduzierte histopathologische Schäden, Fibrose und systemische Entzündung signifikant. Der Mechanismus besteht in der m6A-modifizierten Stabilisierung von S1PR2-mRNA durch WTAP-Träger. Engineered Exosomen ohne WTAP zeigten protektive Effekte in vivo.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Grundlagenmodell, therapeutisches Konzept Nanomedicine bedarf Humantestung; Pathway-Identifikation für künftige Interventionen.</w:t>
      </w:r>
    </w:p>
    <w:p>
      <w:r>
        <w:rPr>
          <w:color w:val="5A7D3A"/>
          <w:sz w:val="18"/>
        </w:rPr>
        <w:t>https://pubmed.ncbi.nlm.nih.gov/42798279/</w:t>
      </w:r>
    </w:p>
    <w:p>
      <w:pPr>
        <w:pStyle w:val="Heading2"/>
      </w:pPr>
      <w:r>
        <w:t>Acetyl-L-Carnitin als Biomarker für hypertensive Störungen bei Gestationsdiabetes</w:t>
      </w:r>
    </w:p>
    <w:p>
      <w:r>
        <w:rPr>
          <w:i/>
          <w:color w:val="666666"/>
          <w:sz w:val="18"/>
        </w:rPr>
        <w:t>Jia X et al.  ·  Cardiovasc Diabetol  ·  26.08.2026  ·  PMID 42791582</w:t>
      </w:r>
    </w:p>
    <w:p>
      <w:r>
        <w:t>Prospektive biomarker-Studie mit Metabolomik und Lipidomik zur Identifikation von Biomarkern, die mit später auftretenden hypertensiven Schwangerschaftskomplikationen bei Frauen mit Gestationsdiabetes assoziiert sind.</w:t>
      </w:r>
    </w:p>
    <w:p>
      <w:r>
        <w:rPr>
          <w:b/>
        </w:rPr>
        <w:t xml:space="preserve">Ergebnis: </w:t>
      </w:r>
      <w:r>
        <w:t>Reduziertes Serum-Acetyl-L-Carnitin (ALC) in der Gruppe mit Gestationsdiabetes und später hypertensive Störung war reproduzierbar mit der Komplikation assoziiert (AUC Discovery 0,907; AUC Validierung 0,886). Ein kombiniertes ALC-diastolischer Blutdruck-Modell verbesserte Diskrimination und Reklassifikation in beiden Kohorten. Multi-Omics-Analyse zeigte komplementäre lipid-assoziierte Muster.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akademische Zentren, Biomarker-Ansatz übertragbar auf strukturierte Schwangerschaftsprogramme.</w:t>
      </w:r>
    </w:p>
    <w:p>
      <w:r>
        <w:rPr>
          <w:color w:val="5A7D3A"/>
          <w:sz w:val="18"/>
        </w:rPr>
        <w:t>https://pubmed.ncbi.nlm.nih.gov/42791582/</w:t>
      </w:r>
    </w:p>
    <w:p>
      <w:pPr>
        <w:pStyle w:val="Heading2"/>
      </w:pPr>
      <w:r>
        <w:t>Periphere Blutbiomarker assoziiert mit Schweregrad der diabetischen Makulopathie</w:t>
      </w:r>
    </w:p>
    <w:p>
      <w:r>
        <w:rPr>
          <w:i/>
          <w:color w:val="666666"/>
          <w:sz w:val="18"/>
        </w:rPr>
        <w:t>Na et al.  ·  Acta Diabetol  ·  23.09.2026  ·  PMID 42776257</w:t>
      </w:r>
    </w:p>
    <w:p>
      <w:r>
        <w:t>Cross-sectional-Studie zu Assoziationen peripherer Blutbiomarker (vollständiges Blutbild, Fibrinogen, D-Dimer, Entzündungsindizes) mit Schweregrad der diabetischen Makulopathie (DME).</w:t>
      </w:r>
    </w:p>
    <w:p>
      <w:r>
        <w:rPr>
          <w:b/>
        </w:rPr>
        <w:t xml:space="preserve">Ergebnis: </w:t>
      </w:r>
      <w:r>
        <w:t>Bei DME-Patienten (n=227) vs. Kontrollen (n=94): signifikant niedrigere Erythrozyten-, Hämoglobin- und Hämatokritwerte; signifikant höhere Leukozytenzahl, Neutrophilen-, Monozytenzahl, Fibrinogen, D-Dimer und Entzündungsindizes. Erythrozyten-Zahl (OR 0,49 je 10¹²/L), Hämoglobin (OR 0,978 je g/L) und Hämatokrit (OR 0,919 je %) waren signifikant mit vorhandener oder schwerer DME assoziiert (p&lt;0,02).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akademische Augenklinik; Blutparameter sind Routineuntersuchungen, Marker-Konzept auf Deutschland übertragbar.</w:t>
      </w:r>
    </w:p>
    <w:p>
      <w:r>
        <w:rPr>
          <w:color w:val="5A7D3A"/>
          <w:sz w:val="18"/>
        </w:rPr>
        <w:t>https://pubmed.ncbi.nlm.nih.gov/42776257/</w:t>
      </w:r>
    </w:p>
    <w:p>
      <w:pPr>
        <w:pStyle w:val="Heading2"/>
      </w:pPr>
      <w:r>
        <w:t>CGM-Regulierung in Europa: Zertifizierungslücken gefährden Gerätesicherheit</w:t>
      </w:r>
    </w:p>
    <w:p>
      <w:r>
        <w:rPr>
          <w:i/>
          <w:color w:val="666666"/>
          <w:sz w:val="18"/>
        </w:rPr>
        <w:t>Irace C et al.  ·  Diabetes Obes Metab  ·  13.08.2026  ·  PMID 42595726</w:t>
      </w:r>
    </w:p>
    <w:p>
      <w:r>
        <w:t>Analyse des Zertifizierungsprozesses für Continuous Glucose Monitoring (CGM) Systeme in der EU unter der Medical Device Regulation (MDR) 2017/745 mit Fokus auf Implementierungslücken und deren Auswirkungen auf Geräte-Sicherheit.</w:t>
      </w:r>
    </w:p>
    <w:p>
      <w:r>
        <w:rPr>
          <w:b/>
        </w:rPr>
        <w:t xml:space="preserve">Ergebnis: </w:t>
      </w:r>
      <w:r>
        <w:t>Kritische Elemente der MDR sind nicht implementiert. Die EUDAMED-Verzögerung limitiert Zugang zu klinischen Evidenz-Reports und schwächt Post-Market-Surveillance. Die Konformitätsbewertung für CGM vor CE-Kennzeichnung hat unzureichende Transparenz und Rückverfolgbarkeit in der Post-Marketing-Phase. Notified Bodies und Hersteller erleben regulatorische Trägheit.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Union/Deutschland, direkter Regulierungsbezug; Umsetzungslücken betreffen erstattungsfähige Technologie.</w:t>
      </w:r>
    </w:p>
    <w:p>
      <w:r>
        <w:rPr>
          <w:color w:val="5A7D3A"/>
          <w:sz w:val="18"/>
        </w:rPr>
        <w:t>https://pubmed.ncbi.nlm.nih.gov/42595726/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