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29.10.2026  |  6 Studien  |  diabetes.m-vf.de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3,4 % Zöliakie-Inzidenz innerhalb 5 Jahren nach Typ-1-Diabetes-Diagnose bei Kindern</w:t>
      </w:r>
    </w:p>
    <w:p>
      <w:r>
        <w:rPr>
          <w:i/>
          <w:color w:val="666666"/>
          <w:sz w:val="18"/>
        </w:rPr>
        <w:t>Al-Kandari H et al.  ·  Diabetes Metab Res Rev  ·  Okt. 2026  ·  PMID 42949632</w:t>
      </w:r>
    </w:p>
    <w:p>
      <w:r>
        <w:t>Prospektive Kohortenstudie mit 1938 Kindern (≤14 Jahre) mit neu diagnostiziertem Typ-1-Diabetes in Kuwait, 2011–2017 rekrutiert, 5 Jahre nachverfolgt; Zöliakie definiert durch Darmbiopsie-Bestätigung.</w:t>
      </w:r>
    </w:p>
    <w:p>
      <w:r>
        <w:rPr>
          <w:b/>
        </w:rPr>
        <w:t xml:space="preserve">Ergebnis: </w:t>
      </w:r>
      <w:r>
        <w:t>65 von 1934 Kindern (3,4 %) entwickelten Zöliakie während Follow-up. Medianer Zeitpunkt zur Zöliakie-Diagnose: 1,5 Jahre; 40 % wurden im ersten Jahr diagnostiziert. Inzidenzrate im ersten Jahr: 1,35 pro 100 Personenjahre (95%-CI 0,92–1,99), danach Rückgang. Jüngeres Alter bei T1D-Diagnose war mit progressiv niedrigerem Zöliakie-Risiko über längere Follow-up assoziiert (33 % Risikoreduktion pro Lebensjahr Altersunterschied bei 5-Jahr-Follow-up). Andere Baseline-Faktoren (DKA, BMI z-Score, Größe z-Score)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Kuwait, aber Assoziationen biologisch universal; Screening-Empfehlung für deutsche Typ-1-Diabetes-Register bei Erstdiagnose sinnvoll</w:t>
      </w:r>
    </w:p>
    <w:p>
      <w:r>
        <w:rPr>
          <w:color w:val="5A7D3A"/>
          <w:sz w:val="18"/>
        </w:rPr>
        <w:t>https://pubmed.ncbi.nlm.nih.gov/42949632/</w:t>
      </w:r>
    </w:p>
    <w:p>
      <w:pPr>
        <w:pStyle w:val="Heading2"/>
      </w:pPr>
      <w:r>
        <w:t>Acmopatide senkt HbA1c und Körpergewicht bei Typ-1-Diabetes mit Übergewicht</w:t>
      </w:r>
    </w:p>
    <w:p>
      <w:r>
        <w:rPr>
          <w:i/>
          <w:color w:val="666666"/>
          <w:sz w:val="18"/>
        </w:rPr>
        <w:t>Klein KR et al.  ·  Diabetes Care  ·  28.10.2026  ·  PMID 42949535</w:t>
      </w:r>
    </w:p>
    <w:p>
      <w:r>
        <w:t>Phase-2-RCT mit 111 Personen mit Typ-1-Diabetes und BMI ≥27 kg/m², randomisiert zu Acmopatide (1,8 / 4,1 / 6,6 mg täglich) oder Placebo über 16 Wochen.</w:t>
      </w:r>
    </w:p>
    <w:p>
      <w:r>
        <w:rPr>
          <w:b/>
        </w:rPr>
        <w:t xml:space="preserve">Ergebnis: </w:t>
      </w:r>
      <w:r>
        <w:t>HbA1c sank mit Acmopatide 4,1 mg um 0,4–0,6 % vs. 0,3 % Placebo (nominell signifikant für 4,1 mg: −0,3 % [p=0,020]). 55,6 % erreichten HbA1c &lt;7,0 % unter 4,1 mg vs. 33,3 % Placebo. Körpergewicht reduzierte sich um 3,3–6,7 % vs. +0,3 % Placebo (alle p&lt;0,01). Insulinbedarf sank um 3,4–14,9 %. Keine diabetische Ketoazidose oder schwere Hypoglykämien. Hauptnebenwirkungen gastrointestinal.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Sicherheitsbefund übertragbar; GLP-1/GIP-Agonisten in Typ-1-Diabetes sind außerhalb spezialisierter Zentren in Deutschland noch nicht im DMP-Katalog</w:t>
      </w:r>
    </w:p>
    <w:p>
      <w:r>
        <w:rPr>
          <w:color w:val="5A7D3A"/>
          <w:sz w:val="18"/>
        </w:rPr>
        <w:t>https://pubmed.ncbi.nlm.nih.gov/42949535/</w:t>
      </w:r>
    </w:p>
    <w:p>
      <w:pPr>
        <w:pStyle w:val="Heading2"/>
      </w:pPr>
      <w:r>
        <w:t>CGM-gesteuertes Ramadan-Fasten verbessert Glukosekontrolle bei Typ-2-Diabetes ohne Hypoglykämie-Anstieg</w:t>
      </w:r>
    </w:p>
    <w:p>
      <w:r>
        <w:rPr>
          <w:i/>
          <w:color w:val="666666"/>
          <w:sz w:val="18"/>
        </w:rPr>
        <w:t>Al Hayek A et al.  ·  J Diabetes Sci Technol  ·  28.10.2026  ·  PMID 42949159</w:t>
      </w:r>
    </w:p>
    <w:p>
      <w:r>
        <w:t>Ambispektive Kohortenstudie mit 110 Erwachsenen mit Typ-2-Diabetes in nichtintensiver Therapie, die während Ramadan kontinuierliche Glukosemessung (CGM) nutzten; Vergleich vor, während und nach dem Fasten.</w:t>
      </w:r>
    </w:p>
    <w:p>
      <w:r>
        <w:rPr>
          <w:b/>
        </w:rPr>
        <w:t xml:space="preserve">Ergebnis: </w:t>
      </w:r>
      <w:r>
        <w:t>Während Ramadan vs. davor: Time in Range (70–180 mg/dL) stieg von 60,8 % auf 65,0 % (p&lt;0,001), medianer Sensor-Glukose sank von 187 auf 175 mg/dL (p&lt;0,001). Glukosevariabilität besserte sich (36,5 % vs. 32,0 %, p&lt;0,001). Schwere Hypoglykämien (Zeit &lt;54 mg/dL) unverändert (p=0,358), leichte Hypoglykämien stiegen moderat. TyG-Index sank (9,65 vs. 9,55, p=0,003). Selbstmanagement-Scores verbesserten sich (27,0 → 29,0, p&lt;0,001). Keine Hospitalisierungen.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Versorgungsmodell mit strukturiertem CGM-Support übertragbar auf deutsche Kliniken mit religiöser Patientenpopulation</w:t>
      </w:r>
    </w:p>
    <w:p>
      <w:r>
        <w:rPr>
          <w:color w:val="5A7D3A"/>
          <w:sz w:val="18"/>
        </w:rPr>
        <w:t>https://pubmed.ncbi.nlm.nih.gov/42949159/</w:t>
      </w:r>
    </w:p>
    <w:p>
      <w:pPr>
        <w:pStyle w:val="Heading2"/>
      </w:pPr>
      <w:r>
        <w:t>Übergang zur Mutterschaft bei Frauen mit Typ-2-Diabetes: Phasenabhängige Bedürfnisse vor und nach der Geburt</w:t>
      </w:r>
    </w:p>
    <w:p>
      <w:r>
        <w:rPr>
          <w:i/>
          <w:color w:val="666666"/>
          <w:sz w:val="18"/>
        </w:rPr>
        <w:t>Lorenzen LE et al.  ·  Diabet Med  ·  27.10.2026  ·  PMID 42944733</w:t>
      </w:r>
    </w:p>
    <w:p>
      <w:r>
        <w:t>Qualitative Längsschnittstudie mit 13 Frauen mit Typ-2-Diabetes, die in der Frühschwangerschaft, Spätschwangerschaft und 2–4 Monate postpartal befragt wurden, um ihre Erfahrungen während dieser Transition zu erfassen.</w:t>
      </w:r>
    </w:p>
    <w:p>
      <w:r>
        <w:rPr>
          <w:b/>
        </w:rPr>
        <w:t xml:space="preserve">Ergebnis: </w:t>
      </w:r>
      <w:r>
        <w:t>Frauen durchliefen drei Phasen mit unterschiedlichen Belastungen: Frühschwangerschaft geprägt von Überwältigung und intensiviertem Diabetes-Management, Spätschwangerschaft mit schrittlicher Anpassung und Fokusverschiebung auf den Fetus, Postpartal durch Reprioritisierung mit Diabetes im Hintergrund und reduzierten Unterstützungsstrukturen. Kontinuierliche spezialisierte postpartale Betreuung fehlt regelmäßig.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Versorgungsforschung im Gesundheitssystem ähnlich Deutschland mit strukturierten DMP-Programmen</w:t>
      </w:r>
    </w:p>
    <w:p>
      <w:r>
        <w:rPr>
          <w:color w:val="5A7D3A"/>
          <w:sz w:val="18"/>
        </w:rPr>
        <w:t>https://pubmed.ncbi.nlm.nih.gov/42944733/</w:t>
      </w:r>
    </w:p>
    <w:p>
      <w:pPr>
        <w:pStyle w:val="Heading2"/>
      </w:pPr>
      <w:r>
        <w:t>Klinische Audits dokumentieren steigende Diabeteskomplikationen im Akutbereich – Surveillance-Lücke sichtbar gemacht</w:t>
      </w:r>
    </w:p>
    <w:p>
      <w:r>
        <w:rPr>
          <w:i/>
          <w:color w:val="666666"/>
          <w:sz w:val="18"/>
        </w:rPr>
        <w:t>El Hadidi S et al.  ·  Diabet Med  ·  27.10.2026  ·  PMID 42944644</w:t>
      </w:r>
    </w:p>
    <w:p>
      <w:r>
        <w:t>Strukturierte narrative Übersichtsarbeit zur Nutzung nationaler klinischer Audits in Irland (2021–2025) als verteilte Surveillance-Infrastruktur für Diabetes; Analyse von 14 Audit-Berichten mit Diabetesbezug.</w:t>
      </w:r>
    </w:p>
    <w:p>
      <w:r>
        <w:rPr>
          <w:b/>
        </w:rPr>
        <w:t xml:space="preserve">Ergebnis: </w:t>
      </w:r>
      <w:r>
        <w:t>2022 Pädiatrie-Machbarkeitsstudie: 3332 Kinder/Jugendliche mit Typ-1-Diabetes in 19 Zentren identifiziert, große Unterschiede in Personalausstattung, HbA1c-Messung und Versorgungspfaden. Pädiatrische Intensivmedizin: 232 DKA-Aufnahmen (2014–2023). STEMI-Audits: Diabetes in 430/1615 Fällen (27 % 2024 vs. 18 % 2021), simultane Abnahme gelungener Reperfusion von 67 % (2017) auf 58 % (2024). Stroke, ICU, Hüftfraktur, Mortalitäts-Audits zeigten keine stratifizierten Diabetes-Outcomes.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ähnliches Gesundheitssystem; Modell für Deutschland mit Deutschem Diabetes-Surveillance-System (DDS) adaptierbar</w:t>
      </w:r>
    </w:p>
    <w:p>
      <w:r>
        <w:rPr>
          <w:color w:val="5A7D3A"/>
          <w:sz w:val="18"/>
        </w:rPr>
        <w:t>https://pubmed.ncbi.nlm.nih.gov/42944644/</w:t>
      </w:r>
    </w:p>
    <w:p>
      <w:pPr>
        <w:pStyle w:val="Heading2"/>
      </w:pPr>
      <w:r>
        <w:t>CagriSema (Cagrilintid + Semaglutid) zeigt zusätzliche Gewichtsreduktion über Semaglutid allein hinaus</w:t>
      </w:r>
    </w:p>
    <w:p>
      <w:r>
        <w:rPr>
          <w:i/>
          <w:color w:val="666666"/>
          <w:sz w:val="18"/>
        </w:rPr>
        <w:t>Kow CS et al.  ·  Diabetes Obes Metab  ·  27.10.2026  ·  PMID 42935221</w:t>
      </w:r>
    </w:p>
    <w:p>
      <w:r>
        <w:t>Systematischer Review und Bayesian-Metaanalyse von 6 RCTs mit 4554 Personen mit Typ-2-Diabetes, die CagriSema gegen Placebo oder Semaglutid verglichen.</w:t>
      </w:r>
    </w:p>
    <w:p>
      <w:r>
        <w:rPr>
          <w:b/>
        </w:rPr>
        <w:t xml:space="preserve">Ergebnis: </w:t>
      </w:r>
      <w:r>
        <w:t>CagriSema 2,4 mg vs. Placebo: HbA1c-Senkung −1,87 Prozentpunkte (95%-CrI −2,08 bis −1,62), Körpergewicht −12,69 % (−13,78 bis −11,61). Vs. Semaglutid 2,4 mg: zusätzliche HbA1c-Reduktion −0,21 Prozentpunkte (unsicher: −0,62 bis 0,11), aber signifikante Zusatzgewichtsreduktion −5,84 % (−10,08 bis −2,15). Gastrointestinale Nebenwirkungen vs. Placebo: RR 2,27 (1,81–3,00); Abbruch wegen Nebenwirkungen RR 3,16 (1,50–6,87).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Studien; Dual-Agonisten in Deutschland nicht im DMP außer speziellen Formenauf Einzelfallbasis</w:t>
      </w:r>
    </w:p>
    <w:p>
      <w:r>
        <w:rPr>
          <w:color w:val="5A7D3A"/>
          <w:sz w:val="18"/>
        </w:rPr>
        <w:t>https://pubmed.ncbi.nlm.nih.gov/42935221/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