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05.10.2026  |  6 Studien  |  diabetes.m-vf.de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Kognitive Gebrechlichkeit und Diabetesrisiko: 11,8 % versus 18,1 %</w:t>
      </w:r>
    </w:p>
    <w:p>
      <w:r>
        <w:rPr>
          <w:i/>
          <w:color w:val="666666"/>
          <w:sz w:val="18"/>
        </w:rPr>
        <w:t>Li M et al.  ·  Diabetes Res Clin Pract  ·  04.10.2026  ·  PMID 42830185</w:t>
      </w:r>
    </w:p>
    <w:p>
      <w:r>
        <w:t>Prospektive Kohortenstudie (CHARLS, HRS, ELSA) mit 23.458 Erwachsenen ≥45 Jahren ohne Baseline-Diabetes, um Übergänge der kognitiven Gebrechlichkeit und späteres Diabetesrisiko zu untersuchen.</w:t>
      </w:r>
    </w:p>
    <w:p>
      <w:r>
        <w:rPr>
          <w:b/>
        </w:rPr>
        <w:t xml:space="preserve">Ergebnis: </w:t>
      </w:r>
      <w:r>
        <w:t>Stabile günstige Entwicklung versus ungünstige: OR 0,66 (95%-KI 0,59–0,74). Längsschnittliche gezielte Maximum-Likelihood-Schätzung: 11,8 % versus 18,1 % Diabetesrisiko über Zeit unter hypothetischen Mustern (Risikodifferenz −6,2 Prozentpunkte, 95%-KI −8,2 bis −4,3).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Mehrnationale Daten (China, USA, UK), wiederholte Messungen identifizieren vulnerable Subgruppen für Prävention.</w:t>
      </w:r>
    </w:p>
    <w:p>
      <w:r>
        <w:rPr>
          <w:color w:val="5A7D3A"/>
          <w:sz w:val="18"/>
        </w:rPr>
        <w:t>https://pubmed.ncbi.nlm.nih.gov/42830185/</w:t>
      </w:r>
    </w:p>
    <w:p>
      <w:pPr>
        <w:pStyle w:val="Heading2"/>
      </w:pPr>
      <w:r>
        <w:t>Umweltbelastung: Dynamische Gehhilfen versus Gipsverband bei Fusswunden</w:t>
      </w:r>
    </w:p>
    <w:p>
      <w:r>
        <w:rPr>
          <w:i/>
          <w:color w:val="666666"/>
          <w:sz w:val="18"/>
        </w:rPr>
        <w:t>van Netten JJ et al.  ·  Diabetologia  ·  03.10.2026  ·  PMID 42829352</w:t>
      </w:r>
    </w:p>
    <w:p>
      <w:r>
        <w:t>Lebenszyklusanalyse von drei Offloadingverfahren bei Diabetespatienten mit plantarem Fusswunddefekt (Gipsverband versus nicht abnehmbarer und abnehmbarer Walker).</w:t>
      </w:r>
    </w:p>
    <w:p>
      <w:r>
        <w:rPr>
          <w:b/>
        </w:rPr>
        <w:t xml:space="preserve">Ergebnis: </w:t>
      </w:r>
      <w:r>
        <w:t>Gesamtumweltbelastung niedrigster bei abnehmbarem Walker: 90 kg CO₂-Äquivalente, bei nicht abnehmbarem Walker 108 kg CO₂-Äq., bei Gipsverband 141 kg CO₂-Äq. Patiententransport verursachte 59–78 % der Auswirkungen pro Verfahren. Die Differenzen sind klinisch relevant für Entscheidungen im Wundmanagement.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europäische Versorgungslogistik und Dokumentation.</w:t>
      </w:r>
    </w:p>
    <w:p>
      <w:r>
        <w:rPr>
          <w:color w:val="5A7D3A"/>
          <w:sz w:val="18"/>
        </w:rPr>
        <w:t>https://pubmed.ncbi.nlm.nih.gov/42829352/</w:t>
      </w:r>
    </w:p>
    <w:p>
      <w:pPr>
        <w:pStyle w:val="Heading2"/>
      </w:pPr>
      <w:r>
        <w:t>Binge-Eating-Störung und Typ-2-Diabetes: 2,9 % prävalent, frühere Diagnose</w:t>
      </w:r>
    </w:p>
    <w:p>
      <w:r>
        <w:rPr>
          <w:i/>
          <w:color w:val="666666"/>
          <w:sz w:val="18"/>
        </w:rPr>
        <w:t>Nybo PF et al.  ·  Diabet Med  ·  03.10.2026  ·  PMID 42828436</w:t>
      </w:r>
    </w:p>
    <w:p>
      <w:r>
        <w:t>Querschnittstudie in dänischen Typ-2-Diabetes-Patienten (DD2-Kohorte, n=2.459) zur Häufigkeit und klinischen Charakteristika der Binge-Eating-Symptome mittels BED-Q-Fragebogen.</w:t>
      </w:r>
    </w:p>
    <w:p>
      <w:r>
        <w:rPr>
          <w:b/>
        </w:rPr>
        <w:t xml:space="preserve">Ergebnis: </w:t>
      </w:r>
      <w:r>
        <w:t>72 Personen (2,9 %) mit BED-Symptomen, 76 (3,1 %) subklinisch. BED assoziiert mit jüngerem Alter bei T2DM-Diagnose (Median 51,8 vs. 59,5 Jahre), schwerem Übergewicht (BMI ≥35: PR 11,37, 95%-KI 2,78–46,49), weiblichem Geschlecht (PR 1,54) und niedriger Lebenszufriedenheit (PR 1,83).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Versicherungssystem, direkt übertragbar auf deutschsprachige Praxen.</w:t>
      </w:r>
    </w:p>
    <w:p>
      <w:r>
        <w:rPr>
          <w:color w:val="5A7D3A"/>
          <w:sz w:val="18"/>
        </w:rPr>
        <w:t>https://pubmed.ncbi.nlm.nih.gov/42828436/</w:t>
      </w:r>
    </w:p>
    <w:p>
      <w:pPr>
        <w:pStyle w:val="Heading2"/>
      </w:pPr>
      <w:r>
        <w:t>Automatische Insulinpumpen in Frühschwangerschaft: 65–76 % Time in Range</w:t>
      </w:r>
    </w:p>
    <w:p>
      <w:r>
        <w:rPr>
          <w:i/>
          <w:color w:val="666666"/>
          <w:sz w:val="18"/>
        </w:rPr>
        <w:t>Hallström S et al.  ·  Diabet Med  ·  03.10.2026  ·  PMID 42828424</w:t>
      </w:r>
    </w:p>
    <w:p>
      <w:r>
        <w:t>Beobachtungsstudie zu off-label-Einsatz von AID-Systemen ohne Schwangerschaftsalgorithmen bei 37 Frauen mit Typ-1-Diabetes in Frühschwangerschaft, manuelle Umschaltung ab Trimester 2.</w:t>
      </w:r>
    </w:p>
    <w:p>
      <w:r>
        <w:rPr>
          <w:b/>
        </w:rPr>
        <w:t xml:space="preserve">Ergebnis: </w:t>
      </w:r>
      <w:r>
        <w:t>Mediane Aktivierung automatischer Funktionen bis zur 18,9. Schwangerschaftswoche. Time in Range Schwangerschaft (TIRp): 65,0 % (Trimester 1), 70,1 % (Trimester 2), 76,5 % (Trimester 3). Nur 27 % erreichten TIRp &gt;70 % in allen Trimestern. 91,9 % erhielten zusätzlich Insulin-Langzeitpräparate; kein Sicherheitssignal, 49 % Kaiserschnitte, 32,4 % Large-for-Gestational-Age-Neugeborene.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Closed-Loop-Technologie übertragbar; Daten zeigen Grenzen off-label-Verwendung.</w:t>
      </w:r>
    </w:p>
    <w:p>
      <w:r>
        <w:rPr>
          <w:color w:val="5A7D3A"/>
          <w:sz w:val="18"/>
        </w:rPr>
        <w:t>https://pubmed.ncbi.nlm.nih.gov/42828424/</w:t>
      </w:r>
    </w:p>
    <w:p>
      <w:pPr>
        <w:pStyle w:val="Heading2"/>
      </w:pPr>
      <w:r>
        <w:t>Primärversorgung global: Nurse- und Apotheker-geführte Modelle verbessern Ergebnisse</w:t>
      </w:r>
    </w:p>
    <w:p>
      <w:r>
        <w:rPr>
          <w:i/>
          <w:color w:val="666666"/>
          <w:sz w:val="18"/>
        </w:rPr>
        <w:t>Kar P et al.  ·  Lancet Diabetes Endocrinol  ·  01.10.2026  ·  PMID 42822481</w:t>
      </w:r>
    </w:p>
    <w:p>
      <w:r>
        <w:t>Narrative Übersicht über Rolle der Primärversorgung bei Typ-2-Diabetes global, mit Fokus auf multiprofessionelle Teams, digitale Pfade und Umsetzungsherausforderungen in Ländern mit niedrigem und mittlerem Einkommen sowie etablierten Systemen.</w:t>
      </w:r>
    </w:p>
    <w:p>
      <w:r>
        <w:rPr>
          <w:b/>
        </w:rPr>
        <w:t xml:space="preserve">Ergebnis: </w:t>
      </w:r>
      <w:r>
        <w:t>Leitlinien dokumentieren: Nurse-geführte und Apotheker-geführte Interventionen sowie integrierte multidisziplinäre Teams in Primär- und Gemeindesettings zeigen Verbesserungen in Glukosekontrolle, kardiometabolischen Endpunkten und Gesundheitsnutzung bei Typ-2-Diabetes. WHO Global Diabetes Compact und UN-Ziele für nicht-übertragbare Krankheiten betonen Stärkung der Primärversorgung zur kostenwirksamen, gerechten Versorgung im Maßstab.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(UK, Kanada, Australien, Südamerika, Afrika), transferierbar auf deutsche DMP-Strukturen.</w:t>
      </w:r>
    </w:p>
    <w:p>
      <w:r>
        <w:rPr>
          <w:color w:val="5A7D3A"/>
          <w:sz w:val="18"/>
        </w:rPr>
        <w:t>https://pubmed.ncbi.nlm.nih.gov/42822481/</w:t>
      </w:r>
    </w:p>
    <w:p>
      <w:pPr>
        <w:pStyle w:val="Heading2"/>
      </w:pPr>
      <w:r>
        <w:t>Depression und Progresson zu Nierenversagen: paradoxes Schutzeffekt-Artefakt</w:t>
      </w:r>
    </w:p>
    <w:p>
      <w:r>
        <w:rPr>
          <w:i/>
          <w:color w:val="666666"/>
          <w:sz w:val="18"/>
        </w:rPr>
        <w:t>Habte-Asres HH et al.  ·  Diabet Med  ·  30.09.2026  ·  PMID 42817195</w:t>
      </w:r>
    </w:p>
    <w:p>
      <w:r>
        <w:t>Populationsbasierte retrospektive UK-Kohortenstudie (CPRD) mit 58.769 Diabetespatienten mit chronischer Nierenerkrankung Stadium 1–4 zur Assoziation zwischen Depression und Progression zu ESKD unter Berücksichtigung konkurrierender Mortalität.</w:t>
      </w:r>
    </w:p>
    <w:p>
      <w:r>
        <w:rPr>
          <w:b/>
        </w:rPr>
        <w:t xml:space="preserve">Ergebnis: </w:t>
      </w:r>
      <w:r>
        <w:t>14,3 % mit Depression. Nach mittlerem Follow-up 5,6 ± 3,4 Jahren: 1.720 Progressionen zu ESKD, 25.127 Todesfälle zuvor. Depression assoziiert mit niedrigerem Sub-Distribution-Hazard für ESKD (adjustiert: SHR 0,82, 95%-KI 0,68–0,99) – vermutlich Sterblichkeitsverzerrung, nicht echte Protektion.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europäisches Sozialversicherungssystem, methodische Warnung vor konkurrierender Mortalität.</w:t>
      </w:r>
    </w:p>
    <w:p>
      <w:r>
        <w:rPr>
          <w:color w:val="5A7D3A"/>
          <w:sz w:val="18"/>
        </w:rPr>
        <w:t>https://pubmed.ncbi.nlm.nih.gov/42817195/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