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25.09.2026  |  6 Studien  |  diabetes.m-vf.de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GLP-1-Rezeptoragonisten senken bei PAD-Diabetes die Gliedmaßen-Amputationen um 35%</w:t>
      </w:r>
    </w:p>
    <w:p>
      <w:r>
        <w:rPr>
          <w:i/>
          <w:color w:val="666666"/>
          <w:sz w:val="18"/>
        </w:rPr>
        <w:t>Khadija HA et al.  ·  Diabetes Metab  ·  24.09.2026  ·  PMID 42785671</w:t>
      </w:r>
    </w:p>
    <w:p>
      <w:r>
        <w:t>Retrospektive Kohortenstudie aus dem Clalit-Datensatz (Israel) untersuchte die Auswirkung von GLP-1-Rezeptoragonisten (GLP1-RA)-Exposition auf Major Adverse Limb Events (MALE) bei 20.031 Patienten mit peripherer Verschlusskrankheit (PAD) und Diabetes.</w:t>
      </w:r>
    </w:p>
    <w:p>
      <w:r>
        <w:rPr>
          <w:b/>
        </w:rPr>
        <w:t xml:space="preserve">Ergebnis: </w:t>
      </w:r>
      <w:r>
        <w:t>5.960 GLP1-RA-Nutzer vs. 14.071 Nicht-Nutzer. GLP1-RA-Exposition assoziiert mit niedrigerem MALE-Risiko, Revaskularisierung und Amputation. In Zeit-ausgerichteter Analyse: Reduktion der Gesamtsterblichkeit HR 0,80 (95% KI 0,73–0,88; p&lt;0,001). Sustained GLP1-RA-Nutzung: HR 0,65 (95% KI 0,44–0,94; p=0,022) für MALE. Befunde sind observativ; Kausalität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 (Clalit-System ähnlich europäisch); Limb-Outcomes sind harte Endpunkte</w:t>
      </w:r>
    </w:p>
    <w:p>
      <w:r>
        <w:rPr>
          <w:color w:val="5A7D3A"/>
          <w:sz w:val="18"/>
        </w:rPr>
        <w:t>https://pubmed.ncbi.nlm.nih.gov/42785671/</w:t>
      </w:r>
    </w:p>
    <w:p>
      <w:pPr>
        <w:pStyle w:val="Heading2"/>
      </w:pPr>
      <w:r>
        <w:t>Incidental physical activity senkt T2DM-Risiko um 38% mit 4,75 min/Tag intensiv</w:t>
      </w:r>
    </w:p>
    <w:p>
      <w:r>
        <w:rPr>
          <w:i/>
          <w:color w:val="666666"/>
          <w:sz w:val="18"/>
        </w:rPr>
        <w:t>Sabag A et al.  ·  J Clin Endocrinol Metab  ·  24.09.2026  ·  PMID 42784530</w:t>
      </w:r>
    </w:p>
    <w:p>
      <w:r>
        <w:t>Prospektive Kohortenstudie an 22.857 körperlich inaktiven UK-Biobank-Teilnehmern (mittleres Alter 62,1 Jahre) untersuchte die Dosis-Wirkungs-Beziehung zwischen Wearable-gemessener incidental physical activity (IPA) und T2DM-Inzidenz über 7,8 Jahre.</w:t>
      </w:r>
    </w:p>
    <w:p>
      <w:r>
        <w:rPr>
          <w:b/>
        </w:rPr>
        <w:t xml:space="preserve">Ergebnis: </w:t>
      </w:r>
      <w:r>
        <w:t>721 T2DM-Fälle (3,2%). Moderate (3–6 METs; 23,70 min/Tag) und vigorous-intensity IPA (≥6 METs; 4,75 min/Tag), nicht aber light-intensity, zeigten inverse Assoziation mit T2DM. Mediane vigorous-intensity IPA: HR 0,62 (95% KI 0,53–0,73). Eine Minute vigorous-intensity entsprach 5,9 Minuten moderate oder 46,6 Minuten light-intensity zur Risikoreduktion.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 mit deutschen Bevölkerungskohorten; Wearable-Messung praxisrelevant</w:t>
      </w:r>
    </w:p>
    <w:p>
      <w:r>
        <w:rPr>
          <w:color w:val="5A7D3A"/>
          <w:sz w:val="18"/>
        </w:rPr>
        <w:t>https://pubmed.ncbi.nlm.nih.gov/42784530/</w:t>
      </w:r>
    </w:p>
    <w:p>
      <w:pPr>
        <w:pStyle w:val="Heading2"/>
      </w:pPr>
      <w:r>
        <w:t>Strukturierte Schulung senkt Sterblichkeit um 57% in DMP-Programmen</w:t>
      </w:r>
    </w:p>
    <w:p>
      <w:r>
        <w:rPr>
          <w:i/>
          <w:color w:val="666666"/>
          <w:sz w:val="18"/>
        </w:rPr>
        <w:t>Selvek M et al.  ·  Diabetes Ther  ·  24.09.2026  ·  PMID 42782573</w:t>
      </w:r>
    </w:p>
    <w:p>
      <w:r>
        <w:t>Retrospektive Kohortenstudie mit Propensity-Score-Matching evaluierte die Assoziation zwischen Teilnahme an strukturierter Diabetes-Schulung innerhalb eines Disease-Management-Programms (DMP) und Gesamtsterblichkeit bei T2DM-Patienten in der Slowakei (2013–2024).</w:t>
      </w:r>
    </w:p>
    <w:p>
      <w:r>
        <w:rPr>
          <w:b/>
        </w:rPr>
        <w:t xml:space="preserve">Ergebnis: </w:t>
      </w:r>
      <w:r>
        <w:t>Bei 4.702 geschulten Patienten und 14.106 Kontrollen traten über 5,04 Jahre Median 1.695 Todesfälle auf. Strukturierte Schulung zeigte 57% geringeres Sterblichkeitsrisiko in den ersten 2 Jahren (HR 0,43; 95% KI 0,30–0,60) und 32% danach (HR 0,68; 95% KI 0,57–0,81) vs. Kontrollen ohne DMP. IPTW-Analyse bestätigte ähnliche Muster (60% vs. 31% Reduktion). Nicht geschulte DMP-Patienten zeigten keinen Überlebensvorteil.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Slowakisches Versicherungssystem (Dôvera), vergleichbar mit europäischen Strukturierten Behandlungsprogrammen</w:t>
      </w:r>
    </w:p>
    <w:p>
      <w:r>
        <w:rPr>
          <w:color w:val="5A7D3A"/>
          <w:sz w:val="18"/>
        </w:rPr>
        <w:t>https://pubmed.ncbi.nlm.nih.gov/42782573/</w:t>
      </w:r>
    </w:p>
    <w:p>
      <w:pPr>
        <w:pStyle w:val="Heading2"/>
      </w:pPr>
      <w:r>
        <w:t>Aminosäure-Signaturen markieren postpartale Dysglykämie nach GDM um Faktor 1,69–1,99</w:t>
      </w:r>
    </w:p>
    <w:p>
      <w:r>
        <w:rPr>
          <w:i/>
          <w:color w:val="666666"/>
          <w:sz w:val="18"/>
        </w:rPr>
        <w:t>Kapoor S et al.  ·  Diabetes Metab Res Rev  ·  Sept. 2026  ·  PMID 42781972</w:t>
      </w:r>
    </w:p>
    <w:p>
      <w:r>
        <w:t>Nested-Case-Control-Metabolomik-Studie (CHIP-F Kohorte) bei 216 indischen Frauen mit prior GDM identifizierte differentielle Metabolit-Signaturen assoziiert mit postpartaler Prediabetes (88 Fälle) und Diabetes (22 Fälle) vs. normoglykämischen Kontrollen (106).</w:t>
      </w:r>
    </w:p>
    <w:p>
      <w:r>
        <w:rPr>
          <w:b/>
        </w:rPr>
        <w:t xml:space="preserve">Ergebnis: </w:t>
      </w:r>
      <w:r>
        <w:t>Jede 1-SD Erhöhung: Tyrosin aOR 1,71 (95% KI 1,01–2,91) und L-Kynurenin aOR 1,69 (1,02–2,80) mit Diabetes; 2-Aminoisobuttersäure aOR 1,50, Butyrylcarnitin aOR 1,99, L-Norleucin aOR 1,96, Propionylcarnitin aOR 1,94 mit Prediabetes. Pathwayanalyse zeigte aromatische Aminosäure-Dysregulation (Prediabetes) und Lipidstoffwechsel-Störungen (Diabetes).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Indien/Südasien; Metabolomik-Biomarker sind Forschungswerkzeug, noch nicht klinisch</w:t>
      </w:r>
    </w:p>
    <w:p>
      <w:r>
        <w:rPr>
          <w:color w:val="5A7D3A"/>
          <w:sz w:val="18"/>
        </w:rPr>
        <w:t>https://pubmed.ncbi.nlm.nih.gov/42781972/</w:t>
      </w:r>
    </w:p>
    <w:p>
      <w:pPr>
        <w:pStyle w:val="Heading2"/>
      </w:pPr>
      <w:r>
        <w:t>Früher Lipidindex vorhersagt GDM und hohes Geburtsgewicht mit 2,08-fachem Risiko</w:t>
      </w:r>
    </w:p>
    <w:p>
      <w:r>
        <w:rPr>
          <w:i/>
          <w:color w:val="666666"/>
          <w:sz w:val="18"/>
        </w:rPr>
        <w:t>Zhao D et al.  ·  J Diabetes Investig  ·  24.09.2026  ·  PMID 42779444</w:t>
      </w:r>
    </w:p>
    <w:p>
      <w:r>
        <w:t>Prospektive Kohortenstudie mit 5.706 Schwangeren ohne Diabetes analysierte die Assoziation des Atherogenic Index of Plasma (AIP) im ersten Trimenon mit Gestationsdiabetes und Neugeborenengewicht, inklusive Mediationseffekte durch Glukose.</w:t>
      </w:r>
    </w:p>
    <w:p>
      <w:r>
        <w:rPr>
          <w:b/>
        </w:rPr>
        <w:t xml:space="preserve">Ergebnis: </w:t>
      </w:r>
      <w:r>
        <w:t>Prävalenz GDM 20,64%. Eine Einheit AIP-Anstieg: Geburtsgewicht +93,12 g (95% KI 39,38–146,87), GDM-Risiko RR 2,08 (95% KI 1,52–2,85), Large-for-Gestational-Age RR 1,67 (95% KI 1,09–2,58). Non-linear Assoziation ab AIP &gt;0,14 mit +158,95 g. Fasten-Plasmaglukose vermittelte 28,35% der AIP-Gewichts-Assoziation (60,04% bei GDM-Frauen).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Gestationsdiabetes-Früherkennung international relevant; AIP-Screening praktizierbar</w:t>
      </w:r>
    </w:p>
    <w:p>
      <w:r>
        <w:rPr>
          <w:color w:val="5A7D3A"/>
          <w:sz w:val="18"/>
        </w:rPr>
        <w:t>https://pubmed.ncbi.nlm.nih.gov/42779444/</w:t>
      </w:r>
    </w:p>
    <w:p>
      <w:pPr>
        <w:pStyle w:val="Heading2"/>
      </w:pPr>
      <w:r>
        <w:t>REWIND-Programm erreicht 8,1% Remissionsquote durch strukturierte Gewichtsreduktion</w:t>
      </w:r>
    </w:p>
    <w:p>
      <w:r>
        <w:rPr>
          <w:i/>
          <w:color w:val="666666"/>
          <w:sz w:val="18"/>
        </w:rPr>
        <w:t>Griffiths B et al.  ·  Diabetes Obes Metab  ·  23.09.2026  ·  PMID 42779197</w:t>
      </w:r>
    </w:p>
    <w:p>
      <w:r>
        <w:t>Prospektive Beobachtungsstudie in Nordwest-London evaluierte die Wirkeffektivität des REWIND-Programms (Totaldienst-Replacement oder kohlenhydratarm) auf Gewichtsverlust, Glukosekontrolle, Medikamenteneinsatz und Diabetes-Remission bei T2DM in der Routineversorgung.</w:t>
      </w:r>
    </w:p>
    <w:p>
      <w:r>
        <w:rPr>
          <w:b/>
        </w:rPr>
        <w:t xml:space="preserve">Ergebnis: </w:t>
      </w:r>
      <w:r>
        <w:t>1.051 REWIND-Teilnehmer vs. 66.376 nicht überweisene Kontrollen. Bei 12 Monaten: Gewichtsverlust um 2,1 kg (95% KI -2,7 bis -1,5), Reduktion glukose-senkender Medikamente um 12,2% (-13,1 bis -11,3), Remissionsanstieg um 4,2% (3,9–4,5). Totaldienst-Pathway: +6,9% Remission; kohlenhydratarm: +2,9%. Programmabsolventen erreichten +8,1% Remission vs. Kontrollen.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NHS-Daten England, vergleichbar mit deutschen DMP-Strukturen zur Gewichtsreduktion</w:t>
      </w:r>
    </w:p>
    <w:p>
      <w:r>
        <w:rPr>
          <w:color w:val="5A7D3A"/>
          <w:sz w:val="18"/>
        </w:rPr>
        <w:t>https://pubmed.ncbi.nlm.nih.gov/42779197/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