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Diabetes</w:t>
      </w:r>
    </w:p>
    <w:p>
      <w:r>
        <w:rPr>
          <w:i/>
          <w:color w:val="666666"/>
          <w:sz w:val="18"/>
        </w:rPr>
        <w:t>Stand: 22.10.2026  |  6 Studien  |  diabetes.m-vf.de</w:t>
      </w:r>
    </w:p>
    <w:p>
      <w:pPr>
        <w:pStyle w:val="Heading1"/>
      </w:pPr>
      <w:r>
        <w:t>Aufgenommen am 22.10.2026</w:t>
      </w:r>
    </w:p>
    <w:p>
      <w:pPr>
        <w:pStyle w:val="Heading2"/>
      </w:pPr>
      <w:r>
        <w:t>Digitale Nudges gegen nächtliche Snacks: Kein Effekt auf Glukose trotz Machbarkeit</w:t>
      </w:r>
    </w:p>
    <w:p>
      <w:r>
        <w:rPr>
          <w:i/>
          <w:color w:val="666666"/>
          <w:sz w:val="18"/>
        </w:rPr>
        <w:t>Zhao L et al.  ·  Diabetes Obes Metab  ·  20.10.2026  ·  PMID 42901530</w:t>
      </w:r>
    </w:p>
    <w:p>
      <w:r>
        <w:t>Australische micro-randomized trial mit 56 Typ-2-Diabetes-Patienten, die nächtliche Snacker waren, zu Smartphone-App-Nudges nach dem Abendessen gemessen via CGM über zwei Wochen.</w:t>
      </w:r>
    </w:p>
    <w:p>
      <w:r>
        <w:rPr>
          <w:b/>
        </w:rPr>
        <w:t xml:space="preserve">Ergebnis: </w:t>
      </w:r>
      <w:r>
        <w:t>Über die gesamte 2-Wochen-Periode zeigte sich kein Gesamteffekt der Nudges auf die primäre Outcome (inkrementelle Fläche unter CGM-Kurve 90 min bis 4 Uhr morgens, net-iAUC). Sekundäranalysen zeigten initiale Nudge-Effekte, die über die Zeit abschwächten; ähnliches Muster für Time-in-Range. Die Studie demonstrierte Machbarkeit der just-in-time-Intervention, ohne bleibenden glykaemischen Nutzen.</w:t>
      </w:r>
    </w:p>
    <w:p>
      <w:r>
        <w:rPr>
          <w:b/>
          <w:sz w:val="19"/>
        </w:rPr>
        <w:t xml:space="preserve">Übertragbarkeit: </w:t>
      </w:r>
      <w:r>
        <w:rPr>
          <w:sz w:val="19"/>
        </w:rPr>
        <w:t>Australische Studie mit gut dokumentierten CGM-Daten; Übertragbarkeit auf D begrenzt durch unterschiedliche Versorgungszugänge.</w:t>
      </w:r>
    </w:p>
    <w:p>
      <w:r>
        <w:rPr>
          <w:color w:val="5A7D3A"/>
          <w:sz w:val="18"/>
        </w:rPr>
        <w:t>https://pubmed.ncbi.nlm.nih.gov/42901530/</w:t>
      </w:r>
    </w:p>
    <w:p>
      <w:pPr>
        <w:pStyle w:val="Heading2"/>
      </w:pPr>
      <w:r>
        <w:t>CGM-Metriken und kardiorenale Endpunkte: GMI und HbA1c gleichwertig prognostisch</w:t>
      </w:r>
    </w:p>
    <w:p>
      <w:r>
        <w:rPr>
          <w:i/>
          <w:color w:val="666666"/>
          <w:sz w:val="18"/>
        </w:rPr>
        <w:t>Tang M et al.  ·  J Diabetes Complications  ·  19.10.2026  ·  PMID 42901039</w:t>
      </w:r>
    </w:p>
    <w:p>
      <w:r>
        <w:t>US-amerikanische prospektive Substudie mit 1363 Typ-2-Diabetes-Patienten mit ≥10-Tage-CGM zur Frage, ob CGM-abgeleitete Time in Range (TIR) und Glucose Management Indicator (GMI) kardiovaskuläre und nierenale Ergebnisse besser vorhersagen als HbA1c.</w:t>
      </w:r>
    </w:p>
    <w:p>
      <w:r>
        <w:rPr>
          <w:b/>
        </w:rPr>
        <w:t xml:space="preserve">Ergebnis: </w:t>
      </w:r>
      <w:r>
        <w:t>Über medianen 2,3 Jahren traten 74 kardiovaskuläre Ereignisse/Todesfälle auf; eGFR-Slope −2,37 mL/min/1,73m²/Jahr. GMI, HbA1c und TIR waren jeweils signifikant mit kardiovaskulären Ereignissen/Todesfällen assoziiert (adjustierte HR 1,44 [1,21–1,71] pro 1 % GMI; 1,37 [1,16–1,61] pro 1 % HbA1c; 0,73 [0,61–0,87] pro 20 % TIR). Höhere GMI und HbA1c korrelierten mit schnellerem eGFR-Rückgang. Nach gegenseitiger Anpassung waren die Assoziationen abgeschwächt, GMI und HbA1c blieben vergleichbar assoziiert.</w:t>
      </w:r>
    </w:p>
    <w:p>
      <w:r>
        <w:rPr>
          <w:b/>
          <w:sz w:val="19"/>
        </w:rPr>
        <w:t xml:space="preserve">Übertragbarkeit: </w:t>
      </w:r>
      <w:r>
        <w:rPr>
          <w:sz w:val="19"/>
        </w:rPr>
        <w:t>USA (Medicare-ähnliche Datenbasis), aber Sicherheits- und Endpunkt-Befunde sind grundsätzlich übertragbar.</w:t>
      </w:r>
    </w:p>
    <w:p>
      <w:r>
        <w:rPr>
          <w:color w:val="5A7D3A"/>
          <w:sz w:val="18"/>
        </w:rPr>
        <w:t>https://pubmed.ncbi.nlm.nih.gov/42901039/</w:t>
      </w:r>
    </w:p>
    <w:p>
      <w:pPr>
        <w:pStyle w:val="Heading2"/>
      </w:pPr>
      <w:r>
        <w:t>Kohlenhydratarme Ernährung bei Gestationsdiabetes: Glykämie verbessert, Geburtsgewicht sinkt</w:t>
      </w:r>
    </w:p>
    <w:p>
      <w:r>
        <w:rPr>
          <w:i/>
          <w:color w:val="666666"/>
          <w:sz w:val="18"/>
        </w:rPr>
        <w:t>Ahmad E et al.  ·  Diabetes Care  ·  20.10.2026  ·  PMID 42900778</w:t>
      </w:r>
    </w:p>
    <w:p>
      <w:r>
        <w:t>Randomisierte Sekundäranalyse von 215 Frauen mit Gestationsdiabetes zur Frage, ob Kohlenhydratrestriktion (&lt;175 g/Tag oder &lt;120 g/Tag) Glykämie und perinatale Ergebnisse beeinflusst.</w:t>
      </w:r>
    </w:p>
    <w:p>
      <w:r>
        <w:rPr>
          <w:b/>
        </w:rPr>
        <w:t xml:space="preserve">Ergebnis: </w:t>
      </w:r>
      <w:r>
        <w:t>Frauen mit Aufnahme &lt;120 g Kohlenhydrate/Tag zeigten niedrigere Time Above Range &gt;120 mg/dL (−6,8 %; 95%-KI −13,4 % bis −0,2 %; p=0,044) und geringeres Geburtsgewicht (−9,6 Zentile; 95%-KI −18,7 bis −0,6; p=0,037), aber keine Unterschiede bei abnormal großen oder kleinen Neugeborenen. Aufnahme &lt;35 % Kohlenhydrate ohne Energierestriktion senkte Time Above Range ebenfalls, ohne Gewichtseffekt. Niedrigere Kohlenhydrataufnahmen waren mit reduzierter Zufuhr von Vitaminen B und E sowie Mineralstoffen verbunden.</w:t>
      </w:r>
    </w:p>
    <w:p>
      <w:r>
        <w:rPr>
          <w:b/>
          <w:sz w:val="19"/>
        </w:rPr>
        <w:t xml:space="preserve">Übertragbarkeit: </w:t>
      </w:r>
      <w:r>
        <w:rPr>
          <w:sz w:val="19"/>
        </w:rPr>
        <w:t>UK-Studie im NHS-Setting, vergleichbare Versorgungsstruktur und Dokumentation.</w:t>
      </w:r>
    </w:p>
    <w:p>
      <w:r>
        <w:rPr>
          <w:color w:val="5A7D3A"/>
          <w:sz w:val="18"/>
        </w:rPr>
        <w:t>https://pubmed.ncbi.nlm.nih.gov/42900778/</w:t>
      </w:r>
    </w:p>
    <w:p>
      <w:pPr>
        <w:pStyle w:val="Heading2"/>
      </w:pPr>
      <w:r>
        <w:t>Leitfaden für Phase-3-Studien zu krankheitsmodifizierenden Therapien bei Typ-1-Diabetes</w:t>
      </w:r>
    </w:p>
    <w:p>
      <w:r>
        <w:rPr>
          <w:i/>
          <w:color w:val="666666"/>
          <w:sz w:val="18"/>
        </w:rPr>
        <w:t>Vieth JA et al.  ·  Diabetes  ·  20.10.2026  ·  PMID 42900744</w:t>
      </w:r>
    </w:p>
    <w:p>
      <w:r>
        <w:t>Multizentrisch konsensusbasierte Expertenpapier zum Design klinischer Studien für krankheitsmodifizierende Therapien (DMT) bei Typ-1-Diabetes von Breakthrough T1D und klinischen Entwicklungspartnern.</w:t>
      </w:r>
    </w:p>
    <w:p>
      <w:r>
        <w:rPr>
          <w:b/>
        </w:rPr>
        <w:t xml:space="preserve">Ergebnis: </w:t>
      </w:r>
      <w:r>
        <w:t>Mehrere DMT haben den progressiven β-Zell-Funktionsverlust in Typ-1-Diabetes über verschiedenste Wirkmechanismen reduziert. Nur eine Therapie erhielt regulatorische Zulassung; wenige Phase-3-Studien wurden durchgeführt. Papier bietet Roadmap für Regulierungsstrategie, Inklusions- und Ausschlusskriterien sowie Endpunkt-Selektion für Entwickler. Empfehlungen umfassen: klare Staging-Definitionen (Stage 2 vs. Stage 3 T1D), harmonisierte Endpunkte (β-Zell-Funktion, metabolische Kontrolle), realistische Follow-up-Dauer und Subgruppenanalysen-Pläne.</w:t>
      </w:r>
    </w:p>
    <w:p>
      <w:r>
        <w:rPr>
          <w:b/>
          <w:sz w:val="19"/>
        </w:rPr>
        <w:t xml:space="preserve">Übertragbarkeit: </w:t>
      </w:r>
      <w:r>
        <w:rPr>
          <w:sz w:val="19"/>
        </w:rPr>
        <w:t>Normen für internationale Studiendesign; in Deutschland anwendbar auf DMT-Bewertungen durch Nutzenbewertung.</w:t>
      </w:r>
    </w:p>
    <w:p>
      <w:r>
        <w:rPr>
          <w:color w:val="5A7D3A"/>
          <w:sz w:val="18"/>
        </w:rPr>
        <w:t>https://pubmed.ncbi.nlm.nih.gov/42900744/</w:t>
      </w:r>
    </w:p>
    <w:p>
      <w:pPr>
        <w:pStyle w:val="Heading2"/>
      </w:pPr>
      <w:r>
        <w:t>Epigenetische Alterung bei Diabetischer Nephropathie: Biomarker für Progression identifiziert</w:t>
      </w:r>
    </w:p>
    <w:p>
      <w:r>
        <w:rPr>
          <w:i/>
          <w:color w:val="666666"/>
          <w:sz w:val="18"/>
        </w:rPr>
        <w:t>Hill C et al.  ·  Diabetes  ·  20.10.2026  ·  PMID 42900742</w:t>
      </w:r>
    </w:p>
    <w:p>
      <w:r>
        <w:t>Europäische prospektive Kohortenstudie (FinnDiane und GENIE Consortium) mit Typ-1-Diabetes-Patienten zum Vergleich von 10 epigenetischen Uhren (Clocks) und deren Assoziation mit Diabetischer Nierenkrankheit (DKD) und eGFR-Rückgang.</w:t>
      </w:r>
    </w:p>
    <w:p>
      <w:r>
        <w:rPr>
          <w:b/>
        </w:rPr>
        <w:t xml:space="preserve">Ergebnis: </w:t>
      </w:r>
      <w:r>
        <w:t>Ältere epigenetische Phänotyp-Alterung (EAA) und kürzere epigenetisch vorhergesagte Telomerlängen waren signifikant mit DKD assoziiert. Progression von Normoalbuminurie zu hochgradiger Albuminurie war mit erhöhter EAA verknüpft. Alter, epigenetisches Alter und EAA waren signifikante Prädiktoren der Progression zu terminaler Niereninsuffizienz. Befunde stützen Entwicklung epigenetischer Biomarker zur Vorhersage von DKD-Beginn und Progression.</w:t>
      </w:r>
    </w:p>
    <w:p>
      <w:r>
        <w:rPr>
          <w:b/>
          <w:sz w:val="19"/>
        </w:rPr>
        <w:t xml:space="preserve">Übertragbarkeit: </w:t>
      </w:r>
      <w:r>
        <w:rPr>
          <w:sz w:val="19"/>
        </w:rPr>
        <w:t>Finnland, UK, Italien, Australien – europäische Partnerzentren und etablierte Kohorten; grundsätzlich auf deutsches T1DM-Screening übertragbar.</w:t>
      </w:r>
    </w:p>
    <w:p>
      <w:r>
        <w:rPr>
          <w:color w:val="5A7D3A"/>
          <w:sz w:val="18"/>
        </w:rPr>
        <w:t>https://pubmed.ncbi.nlm.nih.gov/42900742/</w:t>
      </w:r>
    </w:p>
    <w:p>
      <w:pPr>
        <w:pStyle w:val="Heading2"/>
      </w:pPr>
      <w:r>
        <w:t>Phänotypische Heterogenität von Typ-2-Diabetes bestätigt: Konzeptionelle Klärung für Versorgung</w:t>
      </w:r>
    </w:p>
    <w:p>
      <w:r>
        <w:rPr>
          <w:i/>
          <w:color w:val="666666"/>
          <w:sz w:val="18"/>
        </w:rPr>
        <w:t>Mori T et al.  ·  Diabetologia  ·  30.09.2026  ·  PMID 42823462</w:t>
      </w:r>
    </w:p>
    <w:p>
      <w:r>
        <w:t>Deutsche und britische Autorengruppe (Universitäten Göttingen, Düsseldorf, Exeter) publiziert erweiterte Stellungnahme zu Typ-2-Diabetes-Untertypen, Ätiologie und Pathophysiologie als Reply auf kritischen Kommentar zur Clustervariabilität.</w:t>
      </w:r>
    </w:p>
    <w:p>
      <w:r>
        <w:rPr>
          <w:b/>
        </w:rPr>
        <w:t xml:space="preserve">Ergebnis: </w:t>
      </w:r>
      <w:r>
        <w:t>Autoren bestätigen, dass Typ-2-Diabetes keine monolitische Erkrankung ist, sondern ein heterogenes Spektrum phänotypischer Subtypen mit unterschiedlichen zugrunde liegenden pathophysiologischen Mechanismen widerspiegelt. Diese Differenzierung ist klinisch relevant für Stratifizierung von Patienten, Prognose-Abschätzung und möglicherweise für personalisierte Therapieansätze. Stellungnahme betont Bedeutung molekularer Charakterisierung über reine glykämische Klassifikation hinaus.</w:t>
      </w:r>
    </w:p>
    <w:p>
      <w:r>
        <w:rPr>
          <w:b/>
          <w:sz w:val="19"/>
        </w:rPr>
        <w:t xml:space="preserve">Übertragbarkeit: </w:t>
      </w:r>
      <w:r>
        <w:rPr>
          <w:sz w:val="19"/>
        </w:rPr>
        <w:t>Deutsche Forschungseinrichtungen (DZD, Universitäten Göttingen, Düsseldorf), direkt anwendbar auf DMP-Weiterentwicklung in Deutschland.</w:t>
      </w:r>
    </w:p>
    <w:p>
      <w:r>
        <w:rPr>
          <w:color w:val="5A7D3A"/>
          <w:sz w:val="18"/>
        </w:rPr>
        <w:t>https://pubmed.ncbi.nlm.nih.gov/42823462/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Diabetes</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