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20.10.2026  |  6 Studien  |  diabetes.m-vf.de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Insulin Degludec senkt Sterblichkeit gegenüber Insulin Glargine in Schwedenregister</w:t>
      </w:r>
    </w:p>
    <w:p>
      <w:r>
        <w:rPr>
          <w:i/>
          <w:color w:val="666666"/>
          <w:sz w:val="18"/>
        </w:rPr>
        <w:t>Nyström T et al.  ·  Diabetes Obes Metab  ·  19.10.2026  ·  PMID 42897087</w:t>
      </w:r>
    </w:p>
    <w:p>
      <w:r>
        <w:t>Target-Trial-Emulation mit Daten aus dem Schwedischen Nationalen Diabetesregister, die 44.890 Patienten mit Typ-2-Diabetes verglichen, die Insulin Degludec oder Glargine zwischen 2012 und 2022 angesetzt bekamen.</w:t>
      </w:r>
    </w:p>
    <w:p>
      <w:r>
        <w:rPr>
          <w:b/>
        </w:rPr>
        <w:t xml:space="preserve">Ergebnis: </w:t>
      </w:r>
      <w:r>
        <w:t>Im Trial-geeigneten Kohort war MACE (Myokardinfarkt, Schlaganfall, kardiovaskulärer Tod) zwischen Degludec und Glargine nicht signifikant unterschiedlich (HR 1,10, 95%-KI 0,91–1,34), doch Degludec zeigte niedrigere Gesamtsterblichkeit (HR 0,75, 95%-KI 0,62–0,92, p=0,002). Im Trial-ungeeigneten Kohort war MACE unter Degludec günstiger (HR 0,80, 95%-KI 0,67–0,95, p=0,004) und alle untersuchten Sicherheitsergebnisse verbessert.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 Registerdaten, vergleichbares Gesundheitssystem; Ergebnis relevant für Insulinwahl in Deutschland.</w:t>
      </w:r>
    </w:p>
    <w:p>
      <w:r>
        <w:rPr>
          <w:color w:val="5A7D3A"/>
          <w:sz w:val="18"/>
        </w:rPr>
        <w:t>https://pubmed.ncbi.nlm.nih.gov/42897087/</w:t>
      </w:r>
    </w:p>
    <w:p>
      <w:pPr>
        <w:pStyle w:val="Heading2"/>
      </w:pPr>
      <w:r>
        <w:t>Smart-MDI-System bei Typ-1-Diabetes: Alertbenachrichtigungen verbessern Glukosekontrolle</w:t>
      </w:r>
    </w:p>
    <w:p>
      <w:r>
        <w:rPr>
          <w:i/>
          <w:color w:val="666666"/>
          <w:sz w:val="18"/>
        </w:rPr>
        <w:t>Crenier L et al.  ·  Diabetes Obes Metab  ·  19.10.2026  ·  PMID 42896857</w:t>
      </w:r>
    </w:p>
    <w:p>
      <w:r>
        <w:t>Randomisierte Studie, die ein intelligentes Mehrfachinjektionssystem (Smart MDI) mit kontinuierlicher Glukosemessung (CGM) bei 143 Patienten mit Typ-1-Diabetes und HbA1c ≥8 % über 6 Monate verglich.</w:t>
      </w:r>
    </w:p>
    <w:p>
      <w:r>
        <w:rPr>
          <w:b/>
        </w:rPr>
        <w:t xml:space="preserve">Ergebnis: </w:t>
      </w:r>
      <w:r>
        <w:t>Der Smart MDI war gegenüber MDI+CGM nicht unterlegen bezüglich Time in Range (TIR-Differenz 0,19 Prozentpunkte, 95%-KI -4,9 bis 5,3) und HbA1c (Differenz -0,13, -0,46 bis 0,19). Patienten, die auf &gt;28 % der Alerts reagierten, zeigten jedoch signifikante Gewinne: +8,12 Prozentpunkte TIR und -0,6 % HbA1c-Reduktion (p=0,02 bis 0,04).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Studie; Technologien sind in deutschen DMP verfügbar.</w:t>
      </w:r>
    </w:p>
    <w:p>
      <w:r>
        <w:rPr>
          <w:color w:val="5A7D3A"/>
          <w:sz w:val="18"/>
        </w:rPr>
        <w:t>https://pubmed.ncbi.nlm.nih.gov/42896857/</w:t>
      </w:r>
    </w:p>
    <w:p>
      <w:pPr>
        <w:pStyle w:val="Heading2"/>
      </w:pPr>
      <w:r>
        <w:t>Saint-Elian-Wund-Score prognostiziert Majoramputationen im diabetischen Fußsyndrom</w:t>
      </w:r>
    </w:p>
    <w:p>
      <w:r>
        <w:rPr>
          <w:i/>
          <w:color w:val="666666"/>
          <w:sz w:val="18"/>
        </w:rPr>
        <w:t>Carro G et al.  ·  Diabet Med  ·  19.10.2026  ·  PMID 42896096</w:t>
      </w:r>
    </w:p>
    <w:p>
      <w:r>
        <w:t>Retrospektive Kohorte von 406 Patienten mit diabetischem Fußsyndrom in Argentinien 2025; Competing-Risks-Modell prüfte Vorhersagekraft des Saint-Elian-Scores für Majoramputation, unter Berücksichtigung von Wundheilung und Tod als konkurrierende Ereignisse.</w:t>
      </w:r>
    </w:p>
    <w:p>
      <w:r>
        <w:rPr>
          <w:b/>
        </w:rPr>
        <w:t xml:space="preserve">Ergebnis: </w:t>
      </w:r>
      <w:r>
        <w:t>Bei jedem Punkt Anstieg im SEWSS erhöhte sich die Subdistribution-Hazard für Majoramputation um 41 % (sHR 1,41, 95%-KI 1,31–1,51, p&lt;0,001), alteradjustiert. Das Modell zeigte gute Diskriminationsfähigkeit über 180 Tage (bootstrap-korrigierte AUC 0,848, Brier-Score 0,097) und adäquate Kalibrierung.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Lateinamerikanisches Register; externe Validierung erforderlich; Methodik übertragbar auf deutsche Kohorten.</w:t>
      </w:r>
    </w:p>
    <w:p>
      <w:r>
        <w:rPr>
          <w:color w:val="5A7D3A"/>
          <w:sz w:val="18"/>
        </w:rPr>
        <w:t>https://pubmed.ncbi.nlm.nih.gov/42896096/</w:t>
      </w:r>
    </w:p>
    <w:p>
      <w:pPr>
        <w:pStyle w:val="Heading2"/>
      </w:pPr>
      <w:r>
        <w:t>SGLT2-Inhibitoren günstiger und sicherer als DPP-4-Inhibitoren in Taiwans Versorgung</w:t>
      </w:r>
    </w:p>
    <w:p>
      <w:r>
        <w:rPr>
          <w:i/>
          <w:color w:val="666666"/>
          <w:sz w:val="18"/>
        </w:rPr>
        <w:t>Yen CL et al.  ·  Diabet Med  ·  19.10.2026  ·  PMID 42896077</w:t>
      </w:r>
    </w:p>
    <w:p>
      <w:r>
        <w:t>Target-Trial-Emulation mit Taiwans Nationaler Krankenversicherungsdatenbank; 224.510 Patienten mit neuem SGLT2i versus 698.012 mit neuem DPP4i verglichen, Sicherheitsergebnisse über durchschnittlich 2 Jahre.</w:t>
      </w:r>
    </w:p>
    <w:p>
      <w:r>
        <w:rPr>
          <w:b/>
        </w:rPr>
        <w:t xml:space="preserve">Ergebnis: </w:t>
      </w:r>
      <w:r>
        <w:t>SGLT2i zeigten niedrigere Inzidenzen von Harnwegsinfekt (23,84 vs. 27,88 pro 1000 Personenjahre, HR 0,86, 95%-KI 0,84–0,87), Frakturen/Stürze (16,55 vs. 17,79, HR 0,93, 95%-KI 0,91–0,95), akutem Nierenschaden (1,06 vs. 1,91, HR 0,55, 95%-KI 0,51–0,59) und Gesamtsterblichkeit (13,05 vs. 19,72, HR 0,66, 95%-KI 0,65–0,67); Genitalmykosen erhöht (HR 1,44).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Asiatisches Versicherungssystem, vergleichbare administrative Daten; Sicherheitsprofil-Befunde übertragbar auf deutsche Nutzenabwägung.</w:t>
      </w:r>
    </w:p>
    <w:p>
      <w:r>
        <w:rPr>
          <w:color w:val="5A7D3A"/>
          <w:sz w:val="18"/>
        </w:rPr>
        <w:t>https://pubmed.ncbi.nlm.nih.gov/42896077/</w:t>
      </w:r>
    </w:p>
    <w:p>
      <w:pPr>
        <w:pStyle w:val="Heading2"/>
      </w:pPr>
      <w:r>
        <w:t>Früherkennung Typ-1-Diabetes im Kindesalter: Fachkräfte sehen Chancen und Hürden</w:t>
      </w:r>
    </w:p>
    <w:p>
      <w:r>
        <w:rPr>
          <w:i/>
          <w:color w:val="666666"/>
          <w:sz w:val="18"/>
        </w:rPr>
        <w:t>Gatti F et al.  ·  Diabetes Metab Res Rev  ·  Okt. 2026  ·  PMID 42895779</w:t>
      </w:r>
    </w:p>
    <w:p>
      <w:r>
        <w:t>Systematische Übersichtsarbeit zur Sicht von Fachkräften (Ärzte, Pflegende, Psychologen) auf Früherkennung und Screening bei Kindern mit erhöhtem Typ-1-Diabetes-Risiko, mit Analyse von 12 Studien.</w:t>
      </w:r>
    </w:p>
    <w:p>
      <w:r>
        <w:rPr>
          <w:b/>
        </w:rPr>
        <w:t xml:space="preserve">Ergebnis: </w:t>
      </w:r>
      <w:r>
        <w:t>Fachkräfte befürworten Screening bei Hochrisiko-Gruppen mehr als bei der Allgemeinbevölkerung. Nutzen: Prävention diabetischer Ketoazidose, frühere klinische Einbindung, bessere Familienvorbereitung. Bedenken: psychosoziale Belastung, begrenzte Fachkapazität, unklare Überweisungs- und Verlaufspfade. Strukturierte Programme zeigten Zustimmung, möglicherweise durch 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Perspective; Transfer auf Deutschland hängt von Programmaufbau in DMP-Struktur ab.</w:t>
      </w:r>
    </w:p>
    <w:p>
      <w:r>
        <w:rPr>
          <w:color w:val="5A7D3A"/>
          <w:sz w:val="18"/>
        </w:rPr>
        <w:t>https://pubmed.ncbi.nlm.nih.gov/42895779/</w:t>
      </w:r>
    </w:p>
    <w:p>
      <w:pPr>
        <w:pStyle w:val="Heading2"/>
      </w:pPr>
      <w:r>
        <w:t>Mandel-kohlenhydratarme Diät verbessert nächtliche Glukosekontrolle bei Typ-2-Diabetes</w:t>
      </w:r>
    </w:p>
    <w:p>
      <w:r>
        <w:rPr>
          <w:i/>
          <w:color w:val="666666"/>
          <w:sz w:val="18"/>
        </w:rPr>
        <w:t>Li X et al.  ·  Nutr Diabetes  ·  22.07.2026  ·  PMID 42894020</w:t>
      </w:r>
    </w:p>
    <w:p>
      <w:r>
        <w:t>Randomisierte Studie mit 33 hospitalisierten Patienten mit Typ-2-Diabetes, die CGM trugen; Vergleich einer mandel-angereicherten kohlenhydratarmen Diät (LCD) versus fettarmer Diät (LFD) über definierte Zeiträume.</w:t>
      </w:r>
    </w:p>
    <w:p>
      <w:r>
        <w:rPr>
          <w:b/>
        </w:rPr>
        <w:t xml:space="preserve">Ergebnis: </w:t>
      </w:r>
      <w:r>
        <w:t>LCD-Gruppe zeigte nächtlich höhere Time in Range (TIR) (98,51 % vs. 91,67 %, p&lt;0,01), höhere Time in Tight Range (TITR) (94,14 % vs. 77,58 %, p&lt;0,05), niedrigere Time Above Range (0,00 % vs. 1,39 %, p&lt;0,01) und niedrigere Standardabweichung (15,57 vs. 23,62 mg/dL, p&lt;0,05). Multivariable Regression zeigte unabhängige Assoziation der LCD mit +6,65 % TIR und +14,60 % TITR.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Klinik mit standardisierter Ernährungsintervention; Übertragbar auf deutsche Diabetesberatung im stationären Setting.</w:t>
      </w:r>
    </w:p>
    <w:p>
      <w:r>
        <w:rPr>
          <w:color w:val="5A7D3A"/>
          <w:sz w:val="18"/>
        </w:rPr>
        <w:t>https://pubmed.ncbi.nlm.nih.gov/42894020/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