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02.10.2026  |  5 Studien  |  diabetes.m-vf.de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Low-dose IL-2 erhöht regulatorische T-Zellen, bewahrt aber keine β-Zellfunction bei frühem Typ-1-Diabetes</w:t>
      </w:r>
    </w:p>
    <w:p>
      <w:r>
        <w:rPr>
          <w:i/>
          <w:color w:val="666666"/>
          <w:sz w:val="18"/>
        </w:rPr>
        <w:t>Rosenzwajg M et al.  ·  Lancet Diabetes Endocrinol  ·  01.10.2026  ·  PMID 42822480</w:t>
      </w:r>
    </w:p>
    <w:p>
      <w:r>
        <w:t>Randomisierte Phase-2b-Studie mit 141 Personen (6–35 Jahre) mit neu diagnostiziertem Typ-1-Diabetes zur Prüfung, ob niedrig dosiertes Interleukin-2 die Restfunktion der Betazellen erhält.</w:t>
      </w:r>
    </w:p>
    <w:p>
      <w:r>
        <w:rPr>
          <w:b/>
        </w:rPr>
        <w:t xml:space="preserve">Ergebnis: </w:t>
      </w:r>
      <w:r>
        <w:t>Trotz markanter Treg-Expansion (adjustierte Mittelwertdifferenz –0,27) war die C-Peptid-AUC bei Monat 12 gleich zwischen IL-2 und Placebo (geometrisches Mittelwertsverhältnis 1,06; p = 0,85). Ernsthafte Nebenwirkungen traten bei 10 % der IL-2-Gruppe und 20 % der Placebogruppe auf, keine Unterschiede in Sicherheit zwischen Altersgruppen. Das biologische Ziel wurde erreicht, therapeutisch aber nicht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Multizenter-RCT, 5 europäische Länder (Belgien, Frankreich, Deutschland, Schweiz, Niederlande)</w:t>
      </w:r>
    </w:p>
    <w:p>
      <w:r>
        <w:rPr>
          <w:color w:val="5A7D3A"/>
          <w:sz w:val="18"/>
        </w:rPr>
        <w:t>https://pubmed.ncbi.nlm.nih.gov/42822480/</w:t>
      </w:r>
    </w:p>
    <w:p>
      <w:pPr>
        <w:pStyle w:val="Heading2"/>
      </w:pPr>
      <w:r>
        <w:t>Digital-therapeutisches glucura mit CGM senkt HbA1c um 0,46 % mehr als CGM allein bei Typ-2-Diabetes</w:t>
      </w:r>
    </w:p>
    <w:p>
      <w:r>
        <w:rPr>
          <w:i/>
          <w:color w:val="666666"/>
          <w:sz w:val="18"/>
        </w:rPr>
        <w:t>Freckmann G et al.  ·  Diabetologia  ·  01.10.2026  ·  PMID 42820970</w:t>
      </w:r>
    </w:p>
    <w:p>
      <w:r>
        <w:t>Offene randomisierte Studie mit 320 Erwachsenen (HbA1c 7,0–11,0 %) ohne Insulintherapie, die 6 Monate glucura (personalisierte Lebensstilintervention) plus intermittente CGM oder nur CGM erhielten.</w:t>
      </w:r>
    </w:p>
    <w:p>
      <w:r>
        <w:rPr>
          <w:b/>
        </w:rPr>
        <w:t xml:space="preserve">Ergebnis: </w:t>
      </w:r>
      <w:r>
        <w:t>glucura + CGM: HbA1c-Reduktion 8,7 mmol/mol (0,80 %), Kontrolle (CGM allein): 3,3 mmol/mol (0,30 %); adjustierte Differenz –5 mmol/mol (–0,46 %; 95% KI –7 bis –3; p = 0,00003). HbA1c &lt; 7 %: 55 % vs. 31 % (OR 3,38); Gewichtsverlust 4,11 % vs. 1,79 % (p &lt; 0,0001). Keine schwerwiegenden Geräte-Nebenwirkungen.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Multicenterstudie, 24 Standorte, vergleichbare Dokumentationspflichten</w:t>
      </w:r>
    </w:p>
    <w:p>
      <w:r>
        <w:rPr>
          <w:color w:val="5A7D3A"/>
          <w:sz w:val="18"/>
        </w:rPr>
        <w:t>https://pubmed.ncbi.nlm.nih.gov/42820970/</w:t>
      </w:r>
    </w:p>
    <w:p>
      <w:pPr>
        <w:pStyle w:val="Heading2"/>
      </w:pPr>
      <w:r>
        <w:t>Survodutide reduziert Körpergewicht um 8,2–9,8 % bei Adipositas und Typ-2-Diabetes in Phase-3-Studie</w:t>
      </w:r>
    </w:p>
    <w:p>
      <w:r>
        <w:rPr>
          <w:i/>
          <w:color w:val="666666"/>
          <w:sz w:val="18"/>
        </w:rPr>
        <w:t>Wharton S et al.  ·  N Engl J Med  ·  01.10.2026  ·  PMID 42820639</w:t>
      </w:r>
    </w:p>
    <w:p>
      <w:r>
        <w:t>Multinationaler, doppelblinder Vergleich von wöchentlichem Survodutide (3,6 oder 6,0 mg) versus Placebo bei 752 Erwachsenen mit Typ-2-Diabetes und BMI ≥ 27 über 76 Wochen.</w:t>
      </w:r>
    </w:p>
    <w:p>
      <w:r>
        <w:rPr>
          <w:b/>
        </w:rPr>
        <w:t xml:space="preserve">Ergebnis: </w:t>
      </w:r>
      <w:r>
        <w:t>Gewichtsreduktion (treatment-regimen-Estimand): 3,6 mg –8,2 % (95% KI –9,2 bis –7,2), 6,0 mg –9,8 % (–10,8 bis –8,8) vs. Placebo –3,9 % (–4,9 bis –2,9); alle p &lt; 0,001. ≥ 5 % Gewichtsreduktion: 57,6 %, 64,5 % vs. 35,1 %. HbA1c-Reduktion: 3,6 mg –0,9 %, 6,0 mg –0,8 % vs. Placebo –0,2 %. Gastrointestinale Nebenwirkungen (mild–moderat): 72,8–77,7 % unter Survodutide vs. 38,6 % Placebo.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Phase-3-RCT, aber kardiovaskulärer Endpunkt nicht primär; Gewicht im Mittelpunkt (adipositas.m-vf.de relevant)</w:t>
      </w:r>
    </w:p>
    <w:p>
      <w:r>
        <w:rPr>
          <w:color w:val="5A7D3A"/>
          <w:sz w:val="18"/>
        </w:rPr>
        <w:t>https://pubmed.ncbi.nlm.nih.gov/42820639/</w:t>
      </w:r>
    </w:p>
    <w:p>
      <w:pPr>
        <w:pStyle w:val="Heading2"/>
      </w:pPr>
      <w:r>
        <w:t>Orales Safiglipron senkt HbA1c um 1,2–1,45 % bei frühem Typ-2-Diabetes in China – wenig Gewichtsverlust</w:t>
      </w:r>
    </w:p>
    <w:p>
      <w:r>
        <w:rPr>
          <w:i/>
          <w:color w:val="666666"/>
          <w:sz w:val="18"/>
        </w:rPr>
        <w:t>Yu M et al.  ·  Nat Med  ·  29.09.2026  ·  PMID 42811187</w:t>
      </w:r>
    </w:p>
    <w:p>
      <w:r>
        <w:t>Phase-3-Studie mit 284 Erwachsenen (mittleres HbA1c 7,95 %) mit diät- und bewegungstherapiegeleitetem Typ-2-Diabetes, randomisiert zu täglich Safiglipron 30, 60, 90 mg oder Placebo über 32 Wochen.</w:t>
      </w:r>
    </w:p>
    <w:p>
      <w:r>
        <w:rPr>
          <w:b/>
        </w:rPr>
        <w:t xml:space="preserve">Ergebnis: </w:t>
      </w:r>
      <w:r>
        <w:t>Placebo-adjustierte HbA1c-Reduktion: 30 mg –1,22 % (95% KI –1,53 bis –0,91), 60 mg –1,20 %, 90 mg –1,45 % (alle p &lt; 0,0001). HbA1c &lt; 7,0 %: 71,4–77,8 % vs. 25,0 % (Placebo). Nüchternglukose-Differenzen –1,58 bis –2,08 mmol/l. Gewichtsreduktion bescheiden: –0,65 % bis –3,56 % vs. Placebo. Gastrointestinale Nebenwirkungen häufig, meist mild–moderat; Abbruch wegen Nebenwirkungen 1,4–6,9 % (Safiglipron) vs. 0 % (Placebo).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Pathophysiologie und glykämischer Endpunkt generalisierbar; weitere Zulassungsstudien laufen</w:t>
      </w:r>
    </w:p>
    <w:p>
      <w:r>
        <w:rPr>
          <w:color w:val="5A7D3A"/>
          <w:sz w:val="18"/>
        </w:rPr>
        <w:t>https://pubmed.ncbi.nlm.nih.gov/42811187/</w:t>
      </w:r>
    </w:p>
    <w:p>
      <w:pPr>
        <w:pStyle w:val="Heading2"/>
      </w:pPr>
      <w:r>
        <w:t>Diabetische Ketoazidose bei Typ-1-Diabetes in Frankreich: 4,5 % pro Jahr, höher bei jungen Erwachsenen trotz Closed-Loop-Systeme</w:t>
      </w:r>
    </w:p>
    <w:p>
      <w:r>
        <w:rPr>
          <w:i/>
          <w:color w:val="666666"/>
          <w:sz w:val="18"/>
        </w:rPr>
        <w:t>Riveline JP et al.  ·  Diabetes Obes Metab  ·  28.09.2026  ·  PMID 42806286</w:t>
      </w:r>
    </w:p>
    <w:p>
      <w:r>
        <w:t>Retrospektive Kohortenstudie aus dem französischen SFDT1-Register mit 2685 Erwachsenen mit Typ-1-Diabetes (Durchschnittsalter 36,8 Jahre) zur Erfassung von DKA-Häufigkeit und Risikofaktoren.</w:t>
      </w:r>
    </w:p>
    <w:p>
      <w:r>
        <w:rPr>
          <w:b/>
        </w:rPr>
        <w:t xml:space="preserve">Ergebnis: </w:t>
      </w:r>
      <w:r>
        <w:t>DKA-Prävalenz (≥ 1 Ereignis in 12 Monaten vor Indexdatum) 4,5 % (95% KI 3,8–5,4 %). DKA-Rate höchst in 18–24-Jährigen: 10,3 % (95% KI 7,5–13,7 %). DKA assoziiert mit jüngerem Alter (p &lt; 0,001), höherem HbA1c (p = 0,001), kürzerer Erkrankungsdauer (p &lt; 0,001). Automated Insulin Delivery: 3,1 % DKA vs. offene Systeme 5,4 % (p = 0,034). CGM-Nutzer: 4,3 % vs. Blutzuckerselbstmessung 8,1 % (p = 0,034). DKA-Patienten hatten mehr schwere Hypoglykämien (27,0 % vs. 8,5 %;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Registerdaten, vergleichbar mit Deutschland DM-Programm-Struktur</w:t>
      </w:r>
    </w:p>
    <w:p>
      <w:r>
        <w:rPr>
          <w:color w:val="5A7D3A"/>
          <w:sz w:val="18"/>
        </w:rPr>
        <w:t>https://pubmed.ncbi.nlm.nih.gov/42806286/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