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12.09.2026  |  18 Studien  |  diabetes.m-vf.de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CVD-Risikogleichungen für Diabetes: Alterskoeffizient unterscheidet Hocheinkommens- von Ländern mit niedrigerem Einkommen</w:t>
      </w:r>
    </w:p>
    <w:p>
      <w:r>
        <w:rPr>
          <w:i/>
          <w:color w:val="666666"/>
          <w:sz w:val="18"/>
        </w:rPr>
        <w:t>Liang J et al.  ·  BMJ  ·  11.09.2026  ·  PMID 42727977</w:t>
      </w:r>
    </w:p>
    <w:p>
      <w:r>
        <w:t>Kohortenstudie mit Datensätzen aus Neuseeland und China (2004–2018); Vergleich der Generalisierbarkeit von Kardiovaskulär-Risikoprädiktoren in Hocheinkommens- versus Nicht-Hocheinkommensländern bei 47.958 Neuseeländern und 46.558 Chinesen mit Diabetes und ohne CVD in der Vorgeschichte.</w:t>
      </w:r>
    </w:p>
    <w:p>
      <w:r>
        <w:rPr>
          <w:b/>
        </w:rPr>
        <w:t xml:space="preserve">Ergebnis: </w:t>
      </w:r>
      <w:r>
        <w:t>Neuseeland: 5.622 CVD-Ereignisse (11,7%), China: 3.650 (7,8%). Hazard Ratio für Alter pro 10 Jahre: Frauen Neuseeland 1,61 (95% CI 1,51–1,71), China 2,51 (2,32–2,72). Standard-Rekalibrierung verbesserte Kalibrierung in China nicht (E/O-Ratio: 0,938–0,809), Austausch von Alterskoeffizienten jedoch ja (1,027–1,025).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Länderübergreifende Methodik, zeigt Limitationen für Deutschland bei Verwendung internationaler Gleichungen.</w:t>
      </w:r>
    </w:p>
    <w:p>
      <w:r>
        <w:rPr>
          <w:color w:val="5A7D3A"/>
          <w:sz w:val="18"/>
        </w:rPr>
        <w:t>https://pubmed.ncbi.nlm.nih.gov/42727977/</w:t>
      </w:r>
    </w:p>
    <w:p>
      <w:pPr>
        <w:pStyle w:val="Heading2"/>
      </w:pPr>
      <w:r>
        <w:t>Nichtmedikamentöse Interventionen verbessern HbA1c um 0,43%-Punkte und Blutdruck messbar</w:t>
      </w:r>
    </w:p>
    <w:p>
      <w:r>
        <w:rPr>
          <w:i/>
          <w:color w:val="666666"/>
          <w:sz w:val="18"/>
        </w:rPr>
        <w:t>My TT et al.  ·  Diabetes Res Clin Pract  ·  11.09.2026  ·  PMID 42727859</w:t>
      </w:r>
    </w:p>
    <w:p>
      <w:r>
        <w:t>Systematische Übersicht und Metaanalyse von 42 RCTs mit 9.586 Teilnehmern zu Effektivität nichtmedikamentöser Interventionen (psychoedukativ, verhaltenstherapeutisch, Geräte, Telemed) auf Stoffwechselkontrolle bei Typ-2-Diabetes (Primärendpunkt: mindestens 3 Komponenten des metabolischen Syndroms).</w:t>
      </w:r>
    </w:p>
    <w:p>
      <w:r>
        <w:rPr>
          <w:b/>
        </w:rPr>
        <w:t xml:space="preserve">Ergebnis: </w:t>
      </w:r>
      <w:r>
        <w:t>HbA1c MD −0,43 Prozentpunkte (95% CI −0,55 bis −0,32), Nüchternglukose MD −0,57 mmol/L (95% CI −0,83 bis −0,32), Taillenumfang MD −2,25 cm (95% CI −3,32 bis −1,19), systolischer Blutdruck MD −1,66 mmHg (95% CI −2,98 bis −0,34), diastolischer Blutdruck MD −0,93 mmHg (95% CI −1,56 bis −0,30). Triglyceride und HDL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aber mit großer Heterogenität und Vorsicht vor Small-Study-Effekten geboten.</w:t>
      </w:r>
    </w:p>
    <w:p>
      <w:r>
        <w:rPr>
          <w:color w:val="5A7D3A"/>
          <w:sz w:val="18"/>
        </w:rPr>
        <w:t>https://pubmed.ncbi.nlm.nih.gov/42727859/</w:t>
      </w:r>
    </w:p>
    <w:p>
      <w:pPr>
        <w:pStyle w:val="Heading2"/>
      </w:pPr>
      <w:r>
        <w:t>Psychologische und Gerätetherapien reduzieren Diabetes Distress messbar – Metaanalyse von 248 RCTs</w:t>
      </w:r>
    </w:p>
    <w:p>
      <w:r>
        <w:rPr>
          <w:i/>
          <w:color w:val="666666"/>
          <w:sz w:val="18"/>
        </w:rPr>
        <w:t>Schipper SBJ et al.  ·  Diabetologia  ·  11.09.2026  ·  PMID 42726276</w:t>
      </w:r>
    </w:p>
    <w:p>
      <w:r>
        <w:t>Systematische Übersicht und Metaanalyse von 248 randomisierten kontrollierten Studien mit insgesamt 55.497 Teilnehmern zur Wirksamkeit von Interventionen zur Reduktion von Diabetes Distress (emotionale Belastung durch Diabetes-Management) bei Erwachsenen mit Typ-1- oder Typ-2-Diabetes.</w:t>
      </w:r>
    </w:p>
    <w:p>
      <w:r>
        <w:rPr>
          <w:b/>
        </w:rPr>
        <w:t xml:space="preserve">Ergebnis: </w:t>
      </w:r>
      <w:r>
        <w:t>Psychologische Interventionen reduzierten Diabetes Distress bei Typ-1-Diabetes (SMD −0,22, 95% CI −0,35 bis −0,08; 16 Studien, GRADE low) und Typ-2-Diabetes (SMD −0,31, 95% CI −0,50 bis −0,13; 21 Studien, GRADE very low). CGM reduzierte Distress bei Typ-1-Diabetes (SMD −0,26, 95% CI −0,41 bis −0,11; 6 Studien, GRADE moderate). Edukative Interventionen reduzierten Distress bei Typ-2-Diabetes (SMD −0,34, 95% CI −0,56 bis −0,11; 3 Studien, GRADE low). Andere Interventionen zeigten keine signifikanten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EASD-Leitlinie mit europäischen Koautoren, psychologische Interventionen praxisrelevant.</w:t>
      </w:r>
    </w:p>
    <w:p>
      <w:r>
        <w:rPr>
          <w:color w:val="5A7D3A"/>
          <w:sz w:val="18"/>
        </w:rPr>
        <w:t>https://pubmed.ncbi.nlm.nih.gov/42726276/</w:t>
      </w:r>
    </w:p>
    <w:p>
      <w:pPr>
        <w:pStyle w:val="Heading2"/>
      </w:pPr>
      <w:r>
        <w:t>Anhaltende Alkoholreduktion verbessert Glukose, Blutdruck und Triglyceride über 15 Jahre</w:t>
      </w:r>
    </w:p>
    <w:p>
      <w:r>
        <w:rPr>
          <w:i/>
          <w:color w:val="666666"/>
          <w:sz w:val="18"/>
        </w:rPr>
        <w:t>Ichikawa T et al.  ·  Diabetes Obes Metab  ·  09.09.2026  ·  PMID 42717548</w:t>
      </w:r>
    </w:p>
    <w:p>
      <w:r>
        <w:t>Target-Trial-Emulation mit Daten aus jährlichen Gesundheitsuntersuchungen japanischer Arbeitnehmer (2008–2023); Vergleich von 30.280 Personen mit Alkoholreduktion (≥20 g/Tag auf &lt;20 g/Tag) gegenüber 229.946 Kontrollpersonen mit ≥20 g/Tag Baseline-Konsum über 15 Jahre Nachbeobachtung.</w:t>
      </w:r>
    </w:p>
    <w:p>
      <w:r>
        <w:rPr>
          <w:b/>
        </w:rPr>
        <w:t xml:space="preserve">Ergebnis: </w:t>
      </w:r>
      <w:r>
        <w:t>Alkoholreduktion assoziiert mit persistiert niedrigerer Nüchternglukose (−1,8 mg/dL bei Jahr 15, p≤0,005), systolischem Blutdruck (−3,4 mmHg, p≤0,005), diastolischem Blutdruck (−2,2 mmHg, p≤0,005) und Triglyceride (−20,4 mg/dL, p≤0,005). HDL-Cholesterin konsistent niedriger, LDL-Cholesterin moderat höher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betriebliche Gesundheitsdaten; Lebensstiländerung übertragbar auf deutsche Beratungspraxis.</w:t>
      </w:r>
    </w:p>
    <w:p>
      <w:r>
        <w:rPr>
          <w:color w:val="5A7D3A"/>
          <w:sz w:val="18"/>
        </w:rPr>
        <w:t>https://pubmed.ncbi.nlm.nih.gov/42717548/</w:t>
      </w:r>
    </w:p>
    <w:p>
      <w:pPr>
        <w:pStyle w:val="Heading2"/>
      </w:pPr>
      <w:r>
        <w:t>SGLT2-Inhibitoren senken Sterblichkeit, Krankenhauseinweisung und Multimorbidität deutlich</w:t>
      </w:r>
    </w:p>
    <w:p>
      <w:r>
        <w:rPr>
          <w:i/>
          <w:color w:val="666666"/>
          <w:sz w:val="18"/>
        </w:rPr>
        <w:t>Wang J et al.  ·  Eur J Endocrinol  ·  28.08.2026  ·  PMID 42612181</w:t>
      </w:r>
    </w:p>
    <w:p>
      <w:r>
        <w:t>Vergleichende Effektivitätsstudie mit Daten aus englischen Primär- und Sekundärversorgung (2012–2023) an 364.522 Erwachsenen mit Typ-2-Diabetes, die SGLT2-Inhibitoren oder DPP-4-Inhibitoren neu ansetzten; Endpunkte waren Sterblichkeit, Krankenhausaufnahmen und 59 Langzeiterkrankungen.</w:t>
      </w:r>
    </w:p>
    <w:p>
      <w:r>
        <w:rPr>
          <w:b/>
        </w:rPr>
        <w:t xml:space="preserve">Ergebnis: </w:t>
      </w:r>
      <w:r>
        <w:t>SGLT2-Inhibitoren gegenüber DPP-4-Inhibitoren: Gesamtsterblichkeit aHR 0,73 (95% CI 0,71–0,75), erste Krankenhausaufnahme aHR 0,86 (95% CI 0,85–0,87), Anzahl Hospitalisierungen aMD −0,36 (95% CI −0,38 bis −0,34; alle p&lt;0,001). 28 Erkrankungen mit reduziertem Risiko (Demenz, Krebs, Lebererkrankung, diabetisches Fußulkus, Epilepsie, Rheumatoide Arthritis), 4 mit erhöhtem Risiko (Candidose, DKA).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übertragbar auf deutsche GKV-Strukturen und DMP.</w:t>
      </w:r>
    </w:p>
    <w:p>
      <w:r>
        <w:rPr>
          <w:color w:val="5A7D3A"/>
          <w:sz w:val="18"/>
        </w:rPr>
        <w:t>https://pubmed.ncbi.nlm.nih.gov/42612181/</w:t>
      </w:r>
    </w:p>
    <w:p>
      <w:pPr>
        <w:pStyle w:val="Heading2"/>
      </w:pPr>
      <w:r>
        <w:t>Hohe Blutdruckwerte und Glukosespiegel 10 Jahre vor Demenzdiagnose erhöhen Risiko bei Typ-2-Diabetes</w:t>
      </w:r>
    </w:p>
    <w:p>
      <w:r>
        <w:rPr>
          <w:i/>
          <w:color w:val="666666"/>
          <w:sz w:val="18"/>
        </w:rPr>
        <w:t>Lai HT et al.  ·  BMJ Open Diabetes Res Care  ·  17.08.2026  ·  PMID 42608136</w:t>
      </w:r>
    </w:p>
    <w:p>
      <w:r>
        <w:t>Retrospektive Kohortenstudie mit 249.958 Erwachsenen mit Typ-2-Diabetes aus England (1999–2018); Untersuchung der Assoziation von 8 kardiometabolischen Markern mit Demenzrisiko, stratifiziert nach Messzeitpunkt (5, 5–10, ≥10 Jahre vor Diagnose).</w:t>
      </w:r>
    </w:p>
    <w:p>
      <w:r>
        <w:rPr>
          <w:b/>
        </w:rPr>
        <w:t xml:space="preserve">Ergebnis: </w:t>
      </w:r>
      <w:r>
        <w:t>22.492 Demenzfälle (1.257.998 Personenjahre). Diastolischer Blutdruck (90 vs. 80 mmHg): 21% höheres Demenzrisiko (95% CI 15–27%). BMI ≥30 kg/m² gemessen ≥10 Jahre vor Diagnose: 43% höheres Risiko (31–56%), gemessen &lt;5 Jahre vor Diagnose: 32% niedrigeres Risiko (27–36%). Höhere Glukose konsistent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Primärversorgungsdaten, ähnliche Dokumentationspflichten wie Deutsche KHSystems.</w:t>
      </w:r>
    </w:p>
    <w:p>
      <w:r>
        <w:rPr>
          <w:color w:val="5A7D3A"/>
          <w:sz w:val="18"/>
        </w:rPr>
        <w:t>https://pubmed.ncbi.nlm.nih.gov/42608136/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2026-09-12T06:00:00Z</dcterms:created>
  <dcterms:modified xsi:type="dcterms:W3CDTF">2026-09-12T06:00:00Z</dcterms:modified>
  <cp:category/>
</cp:coreProperties>
</file>