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Diabetes</w:t>
      </w:r>
    </w:p>
    <w:p>
      <w:r>
        <w:rPr>
          <w:i/>
          <w:color w:val="666666"/>
          <w:sz w:val="18"/>
        </w:rPr>
        <w:t>Stand: 20.09.2026  |  7 Studien  |  diabetes.m-vf.de</w:t>
      </w:r>
    </w:p>
    <w:p>
      <w:pPr>
        <w:pStyle w:val="Heading1"/>
      </w:pPr>
      <w:r>
        <w:t>Aufgenommen am 20.09.2026</w:t>
      </w:r>
    </w:p>
    <w:p>
      <w:pPr>
        <w:pStyle w:val="Heading2"/>
      </w:pPr>
      <w:r>
        <w:t>36 % mit neuer Typ-2-Diabetes-Diagnose entwickeln Komplikationen in 3 Jahren</w:t>
      </w:r>
    </w:p>
    <w:p>
      <w:r>
        <w:rPr>
          <w:i/>
          <w:color w:val="666666"/>
          <w:sz w:val="18"/>
        </w:rPr>
        <w:t>Blomstrand H et al.  ·  J Diabetes Complications  ·  14.09.2026  ·  PMID 42762771</w:t>
      </w:r>
    </w:p>
    <w:p>
      <w:r>
        <w:t>Retrospektive bevölkerungsbasierte Kohorte von 5.773 Personen (40–90 Jahre), bei denen zwischen 2015 und 2020 in Region Halland, Schweden, Typ-2-Diabetes diagnostiziert wurde; Verfolgung über 3 Jahre auf Mikro- und Makrovaskulärkomplikationen.</w:t>
      </w:r>
    </w:p>
    <w:p>
      <w:r>
        <w:rPr>
          <w:b/>
        </w:rPr>
        <w:t xml:space="preserve">Ergebnis: </w:t>
      </w:r>
      <w:r>
        <w:t>Innerhalb von 3 Jahren entwickelten 36 % Komplikationen (Mikro &gt; Makro), 4 % starben. Beeinträchtigte Nierenfunktion erhöhte Risiko (HR 2,70; 95% KI 2,08–3,52), schlechte Glykämie-Kontrolle (HR 1,38; 95% KI 1,19–1,59). Höheres Alter erhöhte Risiko; weibliches Geschlecht war protektiv.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vergleichbares Versicherungssystem; frühe Risikostratifizierung</w:t>
      </w:r>
    </w:p>
    <w:p>
      <w:r>
        <w:rPr>
          <w:color w:val="5A7D3A"/>
          <w:sz w:val="18"/>
        </w:rPr>
        <w:t>https://pubmed.ncbi.nlm.nih.gov/42762771/</w:t>
      </w:r>
    </w:p>
    <w:p>
      <w:pPr>
        <w:pStyle w:val="Heading2"/>
      </w:pPr>
      <w:r>
        <w:t>Tofogliflozin verlangsamt nierenfunktionelle Verschlechterung um 6,1 mL/min</w:t>
      </w:r>
    </w:p>
    <w:p>
      <w:r>
        <w:rPr>
          <w:i/>
          <w:color w:val="666666"/>
          <w:sz w:val="18"/>
        </w:rPr>
        <w:t>Shinagawa N et al.  ·  J Diabetes Investig  ·  19.09.2026  ·  PMID 42762054</w:t>
      </w:r>
    </w:p>
    <w:p>
      <w:r>
        <w:t>Retrospektive Multizenterstudie von 598 Typ-2-Diabetes-Patienten (245 Tofogliflozin, 353 Kontrolle) mit Verfolgung der eGFR-Veränderung über 72 Monate in realer klinischer Praxis in Japan.</w:t>
      </w:r>
    </w:p>
    <w:p>
      <w:r>
        <w:rPr>
          <w:b/>
        </w:rPr>
        <w:t xml:space="preserve">Ergebnis: </w:t>
      </w:r>
      <w:r>
        <w:t>Nach 72 Monaten: eGFR-Rückgang −4,51 mL/min/1,73 m² unter Tofogliflozin vs. −10,64 unter Kontrollgruppe (Unterschied 6,14 mL/min/1,73 m²; p &lt; 0,001). Ebenso reduziert: HbA1c und Körpergewicht; Urin-Albumin-Kreatinin-Ratio zeigte keinen signifikanten Unterschied.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Japan-Realwelt-Daten; SGLT2-Inhibitor-Klasse, nierenschützend</w:t>
      </w:r>
    </w:p>
    <w:p>
      <w:r>
        <w:rPr>
          <w:color w:val="5A7D3A"/>
          <w:sz w:val="18"/>
        </w:rPr>
        <w:t>https://pubmed.ncbi.nlm.nih.gov/42762054/</w:t>
      </w:r>
    </w:p>
    <w:p>
      <w:pPr>
        <w:pStyle w:val="Heading2"/>
      </w:pPr>
      <w:r>
        <w:t>Ultra-verarbeitete Lebensmittel, Bewegung und Schlaf senken Diabetes-Risiko</w:t>
      </w:r>
    </w:p>
    <w:p>
      <w:r>
        <w:rPr>
          <w:i/>
          <w:color w:val="666666"/>
          <w:sz w:val="18"/>
        </w:rPr>
        <w:t>Xu W et al.  ·  Diabetes  ·  17.09.2026  ·  PMID 42752808</w:t>
      </w:r>
    </w:p>
    <w:p>
      <w:r>
        <w:t>Prospektive Kohortenanalyse von 56.964 UK-Biobank-Teilnehmern ohne Diabetes mit erfasster Ernährung, Accelerometer-Bewegung und polygenetischem Risiko für Typ-2-Diabetes über median 8,6 Jahre.</w:t>
      </w:r>
    </w:p>
    <w:p>
      <w:r>
        <w:rPr>
          <w:b/>
        </w:rPr>
        <w:t xml:space="preserve">Ergebnis: </w:t>
      </w:r>
      <w:r>
        <w:t>Jede 10 % höhere Ultra-verarbeitete-Lebensmittel-(UPF-)Aufnahme war mit 7 % höherem Diabetes-Risiko assoziiert (HR 1,07; 95% KI 1,03–1,12). Bei hoher genetischer Suszeptibilität senkte niedrigere UPF-Aufnahme das Risiko (HR 0,65; 95% KI 0,49–0,85), wie auch ausreichend moderate-intensive körperliche Aktivität (HR 0,67) und adäquater Schlaf (HR 0,57).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UK-Biobank; Wearable-Daten zu Verhalten; international vergleichbar</w:t>
      </w:r>
    </w:p>
    <w:p>
      <w:r>
        <w:rPr>
          <w:color w:val="5A7D3A"/>
          <w:sz w:val="18"/>
        </w:rPr>
        <w:t>https://pubmed.ncbi.nlm.nih.gov/42752808/</w:t>
      </w:r>
    </w:p>
    <w:p>
      <w:pPr>
        <w:pStyle w:val="Heading2"/>
      </w:pPr>
      <w:r>
        <w:t>CGM-Profile zeigen Herzinfarkt-Risiken selbst ohne Diabetes</w:t>
      </w:r>
    </w:p>
    <w:p>
      <w:r>
        <w:rPr>
          <w:i/>
          <w:color w:val="666666"/>
          <w:sz w:val="18"/>
        </w:rPr>
        <w:t>Bakhshi B et al.  ·  Diabetes Care  ·  17.09.2026  ·  PMID 42752803</w:t>
      </w:r>
    </w:p>
    <w:p>
      <w:r>
        <w:t>Querschnittsanalyse von 1.356 Framingham-Heart-Study-Teilnehmern ohne Diabetes, die 7–10 Tage ein blinded CGM (Dexcom G6) trugen; Assoziation CGM-Maße mit 10-Jahres-Herzinfarkt-Risiko und kardiometabolischen Risikofaktoren.</w:t>
      </w:r>
    </w:p>
    <w:p>
      <w:r>
        <w:rPr>
          <w:b/>
        </w:rPr>
        <w:t xml:space="preserve">Ergebnis: </w:t>
      </w:r>
      <w:r>
        <w:t>Jede SD höherer Anteil der Zeit mit Glukose &gt;140 mg/dL (15,4 %) war assoziiert mit 2 % höherem 10-Jahres-CVD-Risiko und 21–26 % höheren Odds für Hypertonie und Dyslipidämie, auch nach Adjustierung für Nüchternglukose. CGM-Profile zeigten Diskordanz zu klassischen Glukoseparametern (HbA1c, Nüchternglukose).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USA-Kohorte; Konzept der kontinuierlichen Glukosemessung für Risikovorhersage</w:t>
      </w:r>
    </w:p>
    <w:p>
      <w:r>
        <w:rPr>
          <w:color w:val="5A7D3A"/>
          <w:sz w:val="18"/>
        </w:rPr>
        <w:t>https://pubmed.ncbi.nlm.nih.gov/42752803/</w:t>
      </w:r>
    </w:p>
    <w:p>
      <w:pPr>
        <w:pStyle w:val="Heading2"/>
      </w:pPr>
      <w:r>
        <w:t>Hepatische Fettlebererkrankung bei Typ-2-Diabetes: Diagnose und Therapie</w:t>
      </w:r>
    </w:p>
    <w:p>
      <w:r>
        <w:rPr>
          <w:i/>
          <w:color w:val="666666"/>
          <w:sz w:val="18"/>
        </w:rPr>
        <w:t>Yki-Järvinen H et al.  ·  Diabetologia  ·  15.08.2026  ·  PMID 42603840</w:t>
      </w:r>
    </w:p>
    <w:p>
      <w:r>
        <w:t>Narrative Übersichtsarbeit zu Diagnose, Verlauf und Management von MASLD (metabolic dysfunction-associated steatotic liver disease) bei Typ-2-Diabetes, mit Fokus auf fehlende Screening-Standards und therapeutische Optionen.</w:t>
      </w:r>
    </w:p>
    <w:p>
      <w:r>
        <w:rPr>
          <w:b/>
        </w:rPr>
        <w:t xml:space="preserve">Ergebnis: </w:t>
      </w:r>
      <w:r>
        <w:t>Bis zu 95 % der MASLD-Fälle bleiben unerkannt. Nichtinvasive Tests unterschätzen Fibroserisiken. Typ-2-Diabetes plus metabolisches Syndrom sind starke Prädiktoren für Leberergebnisse, aber kardiovaskuläre Ereignisse sind häufigste Todesursache bei nichtzirrhötischen Patienten. Neue Therapien (hepatische Energiestoffwechsel-Inhibitoren, Gewichtsverlust-Promoter) vielversprechend für Fibrosebegrenzung.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Koinzip-Autoren; kritische Versorgungslücke in DM-Praxis</w:t>
      </w:r>
    </w:p>
    <w:p>
      <w:r>
        <w:rPr>
          <w:color w:val="5A7D3A"/>
          <w:sz w:val="18"/>
        </w:rPr>
        <w:t>https://pubmed.ncbi.nlm.nih.gov/42603840/</w:t>
      </w:r>
    </w:p>
    <w:p>
      <w:pPr>
        <w:pStyle w:val="Heading2"/>
      </w:pPr>
      <w:r>
        <w:t>Drei-Stoffwechsel-Modell identifiziert Gestationsdiabetes-Risiko mit AUC 0,97</w:t>
      </w:r>
    </w:p>
    <w:p>
      <w:r>
        <w:rPr>
          <w:i/>
          <w:color w:val="666666"/>
          <w:sz w:val="18"/>
        </w:rPr>
        <w:t>Ma S et al.  ·  Cardiovasc Diabetol  ·  07.08.2026  ·  PMID 42568080</w:t>
      </w:r>
    </w:p>
    <w:p>
      <w:r>
        <w:t>Multizenter-Nested-Case-Control-Studie mit 2.693 Schwangeren, die Untargeted-Metabolomik und Metagenomik integrierten, um früh-schwangerschaftliche Biomarker für Gestationsdiabetes zu identifizieren; externe und prospektive Validierung.</w:t>
      </w:r>
    </w:p>
    <w:p>
      <w:r>
        <w:rPr>
          <w:b/>
        </w:rPr>
        <w:t xml:space="preserve">Ergebnis: </w:t>
      </w:r>
      <w:r>
        <w:t>Ein Drei-Stoffwechsel-Modell (3-Hydroxydecansäure, γ-Glu-Leu, Propionsäure) erreichte AUC 0,838 im Training, 0,840 in interner Validierung, 0,955 und 0,917 in zwei externen Kohorten und 0,969 in der prospektiven Kohorte. Frauen mit späterem GDM zeigten ungünstige früh-schwangerschaftliche Metaboliten und Mikrobiota-Struktur-Veränderungen.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China; Metaboliten als Biomarker; kardio-metabolisches Risikokonzept in Schwangerschaft</w:t>
      </w:r>
    </w:p>
    <w:p>
      <w:r>
        <w:rPr>
          <w:color w:val="5A7D3A"/>
          <w:sz w:val="18"/>
        </w:rPr>
        <w:t>https://pubmed.ncbi.nlm.nih.gov/42568080/</w:t>
      </w:r>
    </w:p>
    <w:p>
      <w:pPr>
        <w:pStyle w:val="Heading2"/>
      </w:pPr>
      <w:r>
        <w:t>Semaglutid reduziert Nierenschäden bei Typ-2-Diabetes um 16%</w:t>
      </w:r>
    </w:p>
    <w:p>
      <w:r>
        <w:rPr>
          <w:i/>
          <w:color w:val="666666"/>
          <w:sz w:val="18"/>
        </w:rPr>
        <w:t>Mann JFE et al.  ·  Lancet Diabetes Endocrinol  ·  07.08.2026  ·  PMID 42567173</w:t>
      </w:r>
    </w:p>
    <w:p>
      <w:r>
        <w:t>Gepoolte Analyse von drei Phase-3-Studien (SELECT, FLOW, SOUL) mit 30.787 Teilnehmern und kardio-renalen Erkrankungen, die über 39,5–47,5 Monate die Wirkung von Semaglutid auf Nierenergebnisse untersuchte.</w:t>
      </w:r>
    </w:p>
    <w:p>
      <w:r>
        <w:rPr>
          <w:b/>
        </w:rPr>
        <w:t xml:space="preserve">Ergebnis: </w:t>
      </w:r>
      <w:r>
        <w:t>Semaglutid reduzierte das primäre Nierenergebnis (persistente eGFR-Senkung ≥50 %, Nierenversagen, nierenbezogener Tod oder kardiovaskulärer Tod) mit Hazard Ratio 0,84 (95% KI 0,77–0,91) versus Placebo. Schmäleres Nierenergebnis (ohne kardiovaskulären Tod): HR 0,80 (95% KI 0,69–0,92). Sicherheit vergleichbar mit anderen GLP-1-Rezeptoragonisten.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Phase-3-Evidenz; Nierenschutz unabhängig von glykostatischem Effekt</w:t>
      </w:r>
    </w:p>
    <w:p>
      <w:r>
        <w:rPr>
          <w:color w:val="5A7D3A"/>
          <w:sz w:val="18"/>
        </w:rPr>
        <w:t>https://pubmed.ncbi.nlm.nih.gov/42567173/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Diabetes</dc:title>
  <dc:subject/>
  <dc:creator>Monitor Versorgungsforschung</dc:creator>
  <cp:keywords/>
  <dc:description>generated by python-docx</dc:description>
  <cp:lastModifiedBy/>
  <cp:revision>1</cp:revision>
  <dcterms:created xsi:type="dcterms:W3CDTF">2026-09-20T06:00:00Z</dcterms:created>
  <dcterms:modified xsi:type="dcterms:W3CDTF">2026-09-20T06:00:00Z</dcterms:modified>
  <cp:category/>
</cp:coreProperties>
</file>