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20.09.2026  |  69 Studien  |  diabetes.m-vf.de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36 % mit neuer Typ-2-Diabetes-Diagnose entwickeln Komplikationen in 3 Jahren</w:t>
      </w:r>
    </w:p>
    <w:p>
      <w:r>
        <w:rPr>
          <w:i/>
          <w:color w:val="666666"/>
          <w:sz w:val="18"/>
        </w:rPr>
        <w:t>Blomstrand H et al.  ·  J Diabetes Complications  ·  14.09.2026  ·  PMID 42762771</w:t>
      </w:r>
    </w:p>
    <w:p>
      <w:r>
        <w:t>Retrospektive bevölkerungsbasierte Kohorte von 5.773 Personen (40–90 Jahre), bei denen zwischen 2015 und 2020 in Region Halland, Schweden, Typ-2-Diabetes diagnostiziert wurde; Verfolgung über 3 Jahre auf Mikro- und Makrovaskulärkomplikationen.</w:t>
      </w:r>
    </w:p>
    <w:p>
      <w:r>
        <w:rPr>
          <w:b/>
        </w:rPr>
        <w:t xml:space="preserve">Ergebnis: </w:t>
      </w:r>
      <w:r>
        <w:t>Innerhalb von 3 Jahren entwickelten 36 % Komplikationen (Mikro &gt; Makro), 4 % starben. Beeinträchtigte Nierenfunktion erhöhte Risiko (HR 2,70; 95% KI 2,08–3,52), schlechte Glykämie-Kontrolle (HR 1,38; 95% KI 1,19–1,59). Höheres Alter erhöhte Risiko; weibliches Geschlecht war protektiv.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Versicherungssystem; frühe Risikostratifizierung</w:t>
      </w:r>
    </w:p>
    <w:p>
      <w:r>
        <w:rPr>
          <w:color w:val="5A7D3A"/>
          <w:sz w:val="18"/>
        </w:rPr>
        <w:t>https://pubmed.ncbi.nlm.nih.gov/42762771/</w:t>
      </w:r>
    </w:p>
    <w:p>
      <w:pPr>
        <w:pStyle w:val="Heading2"/>
      </w:pPr>
      <w:r>
        <w:t>Tofogliflozin verlangsamt nierenfunktionelle Verschlechterung um 6,1 mL/min</w:t>
      </w:r>
    </w:p>
    <w:p>
      <w:r>
        <w:rPr>
          <w:i/>
          <w:color w:val="666666"/>
          <w:sz w:val="18"/>
        </w:rPr>
        <w:t>Shinagawa N et al.  ·  J Diabetes Investig  ·  19.09.2026  ·  PMID 42762054</w:t>
      </w:r>
    </w:p>
    <w:p>
      <w:r>
        <w:t>Retrospektive Multizenterstudie von 598 Typ-2-Diabetes-Patienten (245 Tofogliflozin, 353 Kontrolle) mit Verfolgung der eGFR-Veränderung über 72 Monate in realer klinischer Praxis in Japan.</w:t>
      </w:r>
    </w:p>
    <w:p>
      <w:r>
        <w:rPr>
          <w:b/>
        </w:rPr>
        <w:t xml:space="preserve">Ergebnis: </w:t>
      </w:r>
      <w:r>
        <w:t>Nach 72 Monaten: eGFR-Rückgang −4,51 mL/min/1,73 m² unter Tofogliflozin vs. −10,64 unter Kontrollgruppe (Unterschied 6,14 mL/min/1,73 m²; p &lt; 0,001). Ebenso reduziert: HbA1c und Körpergewicht; Urin-Albumin-Kreatinin-Ratio zeigte keinen signifikanten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Japan-Realwelt-Daten; SGLT2-Inhibitor-Klasse, nierenschützend</w:t>
      </w:r>
    </w:p>
    <w:p>
      <w:r>
        <w:rPr>
          <w:color w:val="5A7D3A"/>
          <w:sz w:val="18"/>
        </w:rPr>
        <w:t>https://pubmed.ncbi.nlm.nih.gov/42762054/</w:t>
      </w:r>
    </w:p>
    <w:p>
      <w:pPr>
        <w:pStyle w:val="Heading2"/>
      </w:pPr>
      <w:r>
        <w:t>Ultra-verarbeitete Lebensmittel, Bewegung und Schlaf senken Diabetes-Risiko</w:t>
      </w:r>
    </w:p>
    <w:p>
      <w:r>
        <w:rPr>
          <w:i/>
          <w:color w:val="666666"/>
          <w:sz w:val="18"/>
        </w:rPr>
        <w:t>Xu W et al.  ·  Diabetes  ·  17.09.2026  ·  PMID 42752808</w:t>
      </w:r>
    </w:p>
    <w:p>
      <w:r>
        <w:t>Prospektive Kohortenanalyse von 56.964 UK-Biobank-Teilnehmern ohne Diabetes mit erfasster Ernährung, Accelerometer-Bewegung und polygenetischem Risiko für Typ-2-Diabetes über median 8,6 Jahre.</w:t>
      </w:r>
    </w:p>
    <w:p>
      <w:r>
        <w:rPr>
          <w:b/>
        </w:rPr>
        <w:t xml:space="preserve">Ergebnis: </w:t>
      </w:r>
      <w:r>
        <w:t>Jede 10 % höhere Ultra-verarbeitete-Lebensmittel-(UPF-)Aufnahme war mit 7 % höherem Diabetes-Risiko assoziiert (HR 1,07; 95% KI 1,03–1,12). Bei hoher genetischer Suszeptibilität senkte niedrigere UPF-Aufnahme das Risiko (HR 0,65; 95% KI 0,49–0,85), wie auch ausreichend moderate-intensive körperliche Aktivität (HR 0,67) und adäquater Schlaf (HR 0,57).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UK-Biobank; Wearable-Daten zu Verhalten; international vergleichbar</w:t>
      </w:r>
    </w:p>
    <w:p>
      <w:r>
        <w:rPr>
          <w:color w:val="5A7D3A"/>
          <w:sz w:val="18"/>
        </w:rPr>
        <w:t>https://pubmed.ncbi.nlm.nih.gov/42752808/</w:t>
      </w:r>
    </w:p>
    <w:p>
      <w:pPr>
        <w:pStyle w:val="Heading2"/>
      </w:pPr>
      <w:r>
        <w:t>CGM-Profile zeigen Herzinfarkt-Risiken selbst ohne Diabetes</w:t>
      </w:r>
    </w:p>
    <w:p>
      <w:r>
        <w:rPr>
          <w:i/>
          <w:color w:val="666666"/>
          <w:sz w:val="18"/>
        </w:rPr>
        <w:t>Bakhshi B et al.  ·  Diabetes Care  ·  17.09.2026  ·  PMID 42752803</w:t>
      </w:r>
    </w:p>
    <w:p>
      <w:r>
        <w:t>Querschnittsanalyse von 1.356 Framingham-Heart-Study-Teilnehmern ohne Diabetes, die 7–10 Tage ein blinded CGM (Dexcom G6) trugen; Assoziation CGM-Maße mit 10-Jahres-Herzinfarkt-Risiko und kardiometabolischen Risikofaktoren.</w:t>
      </w:r>
    </w:p>
    <w:p>
      <w:r>
        <w:rPr>
          <w:b/>
        </w:rPr>
        <w:t xml:space="preserve">Ergebnis: </w:t>
      </w:r>
      <w:r>
        <w:t>Jede SD höherer Anteil der Zeit mit Glukose &gt;140 mg/dL (15,4 %) war assoziiert mit 2 % höherem 10-Jahres-CVD-Risiko und 21–26 % höheren Odds für Hypertonie und Dyslipidämie, auch nach Adjustierung für Nüchternglukose. CGM-Profile zeigten Diskordanz zu klassischen Glukoseparametern (HbA1c, Nüchternglukose).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USA-Kohorte; Konzept der kontinuierlichen Glukosemessung für Risikovorhersage</w:t>
      </w:r>
    </w:p>
    <w:p>
      <w:r>
        <w:rPr>
          <w:color w:val="5A7D3A"/>
          <w:sz w:val="18"/>
        </w:rPr>
        <w:t>https://pubmed.ncbi.nlm.nih.gov/42752803/</w:t>
      </w:r>
    </w:p>
    <w:p>
      <w:pPr>
        <w:pStyle w:val="Heading2"/>
      </w:pPr>
      <w:r>
        <w:t>Hepatische Fettlebererkrankung bei Typ-2-Diabetes: Diagnose und Therapie</w:t>
      </w:r>
    </w:p>
    <w:p>
      <w:r>
        <w:rPr>
          <w:i/>
          <w:color w:val="666666"/>
          <w:sz w:val="18"/>
        </w:rPr>
        <w:t>Yki-Järvinen H et al.  ·  Diabetologia  ·  15.08.2026  ·  PMID 42603840</w:t>
      </w:r>
    </w:p>
    <w:p>
      <w:r>
        <w:t>Narrative Übersichtsarbeit zu Diagnose, Verlauf und Management von MASLD (metabolic dysfunction-associated steatotic liver disease) bei Typ-2-Diabetes, mit Fokus auf fehlende Screening-Standards und therapeutische Optionen.</w:t>
      </w:r>
    </w:p>
    <w:p>
      <w:r>
        <w:rPr>
          <w:b/>
        </w:rPr>
        <w:t xml:space="preserve">Ergebnis: </w:t>
      </w:r>
      <w:r>
        <w:t>Bis zu 95 % der MASLD-Fälle bleiben unerkannt. Nichtinvasive Tests unterschätzen Fibroserisiken. Typ-2-Diabetes plus metabolisches Syndrom sind starke Prädiktoren für Leberergebnisse, aber kardiovaskuläre Ereignisse sind häufigste Todesursache bei nichtzirrhötischen Patienten. Neue Therapien (hepatische Energiestoffwechsel-Inhibitoren, Gewichtsverlust-Promoter) vielversprechend für Fibrosebegrenzung.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Koinzip-Autoren; kritische Versorgungslücke in DM-Praxis</w:t>
      </w:r>
    </w:p>
    <w:p>
      <w:r>
        <w:rPr>
          <w:color w:val="5A7D3A"/>
          <w:sz w:val="18"/>
        </w:rPr>
        <w:t>https://pubmed.ncbi.nlm.nih.gov/42603840/</w:t>
      </w:r>
    </w:p>
    <w:p>
      <w:pPr>
        <w:pStyle w:val="Heading2"/>
      </w:pPr>
      <w:r>
        <w:t>Drei-Stoffwechsel-Modell identifiziert Gestationsdiabetes-Risiko mit AUC 0,97</w:t>
      </w:r>
    </w:p>
    <w:p>
      <w:r>
        <w:rPr>
          <w:i/>
          <w:color w:val="666666"/>
          <w:sz w:val="18"/>
        </w:rPr>
        <w:t>Ma S et al.  ·  Cardiovasc Diabetol  ·  07.08.2026  ·  PMID 42568080</w:t>
      </w:r>
    </w:p>
    <w:p>
      <w:r>
        <w:t>Multizenter-Nested-Case-Control-Studie mit 2.693 Schwangeren, die Untargeted-Metabolomik und Metagenomik integrierten, um früh-schwangerschaftliche Biomarker für Gestationsdiabetes zu identifizieren; externe und prospektive Validierung.</w:t>
      </w:r>
    </w:p>
    <w:p>
      <w:r>
        <w:rPr>
          <w:b/>
        </w:rPr>
        <w:t xml:space="preserve">Ergebnis: </w:t>
      </w:r>
      <w:r>
        <w:t>Ein Drei-Stoffwechsel-Modell (3-Hydroxydecansäure, γ-Glu-Leu, Propionsäure) erreichte AUC 0,838 im Training, 0,840 in interner Validierung, 0,955 und 0,917 in zwei externen Kohorten und 0,969 in der prospektiven Kohorte. Frauen mit späterem GDM zeigten ungünstige früh-schwangerschaftliche Metaboliten und Mikrobiota-Struktur-Veränderungen.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Metaboliten als Biomarker; kardio-metabolisches Risikokonzept in Schwangerschaft</w:t>
      </w:r>
    </w:p>
    <w:p>
      <w:r>
        <w:rPr>
          <w:color w:val="5A7D3A"/>
          <w:sz w:val="18"/>
        </w:rPr>
        <w:t>https://pubmed.ncbi.nlm.nih.gov/42568080/</w:t>
      </w:r>
    </w:p>
    <w:p>
      <w:pPr>
        <w:pStyle w:val="Heading2"/>
      </w:pPr>
      <w:r>
        <w:t>Semaglutid reduziert Nierenschäden bei Typ-2-Diabetes um 16%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drei Phase-3-Studien (SELECT, FLOW, SOUL) mit 30.787 Teilnehmern und kardio-renalen Erkrankungen, die über 39,5–47,5 Monate die Wirkung von Semaglutid auf Nierenergebnisse untersuchte.</w:t>
      </w:r>
    </w:p>
    <w:p>
      <w:r>
        <w:rPr>
          <w:b/>
        </w:rPr>
        <w:t xml:space="preserve">Ergebnis: </w:t>
      </w:r>
      <w:r>
        <w:t>Semaglutid reduzierte das primäre Nierenergebnis (persistente eGFR-Senkung ≥50 %, Nierenversagen, nierenbezogener Tod oder kardiovaskulärer Tod) mit Hazard Ratio 0,84 (95% KI 0,77–0,91) versus Placebo. Schmäleres Nierenergebnis (ohne kardiovaskulären Tod): HR 0,80 (95% KI 0,69–0,92). Sicherheit vergleichbar mit anderen GLP-1-Rezeptoragonisten.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Phase-3-Evidenz; Nierenschutz unabhängig von glykostatischem Effekt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Kulturell angepasstes Diabetes-Selbstmanagement senkt Kosten und steigert Lebensqualität</w:t>
      </w:r>
    </w:p>
    <w:p>
      <w:r>
        <w:rPr>
          <w:i/>
          <w:color w:val="666666"/>
          <w:sz w:val="18"/>
        </w:rPr>
        <w:t>Lamprecht-Carson D et al.  ·  Diabetes Obes Metab  ·  17.09.2026  ·  PMID 42755138</w:t>
      </w:r>
    </w:p>
    <w:p>
      <w:r>
        <w:t>Markov-Modell über 20 Jahre zur Kosteneffektivität eines kulturell angepassten Diabetes-Selbstmanagement-Schulungsprogramms (DSME) für Marshallesen mit Typ-2-Diabetes gegenüber Standard-DSME und Standardversorgung.</w:t>
      </w:r>
    </w:p>
    <w:p>
      <w:r>
        <w:rPr>
          <w:b/>
        </w:rPr>
        <w:t xml:space="preserve">Ergebnis: </w:t>
      </w:r>
      <w:r>
        <w:t>Angepasstes DSME-Programm war kosteneffektiv mit ICER von 3.083 USD pro QALY. Bei Willingness-to-Pay-Schwelle 50.000 USD/QALY war es in 87,1% der Simulationen die bevorzugte Strategie, bei 100.000 USD/QALY in 93,7%. Resultat robust gegenüber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Interventionsdesign (kulturelle Anpassung) übertragbar auf deutsche Minderheitengruppen in DMP-Setting.</w:t>
      </w:r>
    </w:p>
    <w:p>
      <w:r>
        <w:rPr>
          <w:color w:val="5A7D3A"/>
          <w:sz w:val="18"/>
        </w:rPr>
        <w:t>https://pubmed.ncbi.nlm.nih.gov/42755138/</w:t>
      </w:r>
    </w:p>
    <w:p>
      <w:pPr>
        <w:pStyle w:val="Heading2"/>
      </w:pPr>
      <w:r>
        <w:t>Hypoglykämien sind mit Entzündungsmarkern und Immunveränderungen assoziiert</w:t>
      </w:r>
    </w:p>
    <w:p>
      <w:r>
        <w:rPr>
          <w:i/>
          <w:color w:val="666666"/>
          <w:sz w:val="18"/>
        </w:rPr>
        <w:t>Ajie M et al.  ·  Diabetes Obes Metab  ·  17.09.2026  ·  PMID 42755124</w:t>
      </w:r>
    </w:p>
    <w:p>
      <w:r>
        <w:t>Multizentrische Beobachtungsstudie (Hypo-METRICS) mit blinden Glukosesensoren über 10 Wochen bei 177 Personen mit Typ-1- und 185 mit Typ-2-Diabetes zur Assoziation sensorisch erkannter Hypoglykämien mit Entzündungsproteinen und Immunzellen.</w:t>
      </w:r>
    </w:p>
    <w:p>
      <w:r>
        <w:rPr>
          <w:b/>
        </w:rPr>
        <w:t xml:space="preserve">Ergebnis: </w:t>
      </w:r>
      <w:r>
        <w:t>Vier zirkulierende Entzündungsproteine (CCL28, CX3CL1, IL-17A, IL-17C) waren positiv mit Hypoglykämiehäufigkeit, -dauer und Time Below Range assoziiert (alle p&lt;0,05). Bei Typ-1-Diabetes waren pro-inflammatorische Monozytenreaktionen invers assoziiert mit Hypoglykämieparametern; Neutrophil- und Monozytencount waren erniedrigt (alle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Multizenterstudie; CGM-gesteuerte Analyse direkt übertragbar auf deutsches Versorgungssetting.</w:t>
      </w:r>
    </w:p>
    <w:p>
      <w:r>
        <w:rPr>
          <w:color w:val="5A7D3A"/>
          <w:sz w:val="18"/>
        </w:rPr>
        <w:t>https://pubmed.ncbi.nlm.nih.gov/42755124/</w:t>
      </w:r>
    </w:p>
    <w:p>
      <w:pPr>
        <w:pStyle w:val="Heading2"/>
      </w:pPr>
      <w:r>
        <w:t>Frühe Automatische Insulinabgabe bei neu diagnostiziertem Typ-1-Diabetes wirksam</w:t>
      </w:r>
    </w:p>
    <w:p>
      <w:r>
        <w:rPr>
          <w:i/>
          <w:color w:val="666666"/>
          <w:sz w:val="18"/>
        </w:rPr>
        <w:t>Zhou Y et al.  ·  Diabetes Obes Metab  ·  17.09.2026  ·  PMID 42755122</w:t>
      </w:r>
    </w:p>
    <w:p>
      <w:r>
        <w:t>Prospektive Beobachtungsstudie in China mit 126 Personen, die innerhalb 3 Monate nach Typ-1-Diabetes-Diagnose ein AndroidAPS-System mit telemedizinischer Unterstützung initiierten; Verfolgung bis 12 Monate.</w:t>
      </w:r>
    </w:p>
    <w:p>
      <w:r>
        <w:rPr>
          <w:b/>
        </w:rPr>
        <w:t xml:space="preserve">Ergebnis: </w:t>
      </w:r>
      <w:r>
        <w:t>Time in Range (TIR 3,9–10,0 mmol/l) betrug 85,2% im ersten Monat und blieb bei 12 Monaten stabil. HbA1c fiel von 10,0% (64 mmol/mol) bei Diagnose auf 6,3% (45 mmol/mol) nach 12 Monaten. Keine schweren Hypoglykämien oder Ketoazidosen. Jedoch brachen 35,7% die Therapie ab, hauptsächlich wegen finanzieller Gründe (55,2%).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technologisches Konzept übertragbar, Finanzierungsmodell (Eigenfinanzierung) nicht auf deutsche GKV übertragbar.</w:t>
      </w:r>
    </w:p>
    <w:p>
      <w:r>
        <w:rPr>
          <w:color w:val="5A7D3A"/>
          <w:sz w:val="18"/>
        </w:rPr>
        <w:t>https://pubmed.ncbi.nlm.nih.gov/42755122/</w:t>
      </w:r>
    </w:p>
    <w:p>
      <w:pPr>
        <w:pStyle w:val="Heading2"/>
      </w:pPr>
      <w:r>
        <w:t>Hybrid-Closed-Loop-Insulin-Pumpen verbessern Blutglukose und psychisches Wohlbefinden</w:t>
      </w:r>
    </w:p>
    <w:p>
      <w:r>
        <w:rPr>
          <w:i/>
          <w:color w:val="666666"/>
          <w:sz w:val="18"/>
        </w:rPr>
        <w:t>Hohendorff J et al.  ·  Diabetes Obes Metab  ·  17.09.2026  ·  PMID 42755121</w:t>
      </w:r>
    </w:p>
    <w:p>
      <w:r>
        <w:t>Randomisierte kontrollierte 3-Monats-Studie (Hi-Loop) zur myloop CamAPS FX Hybrid-Closed-Loop-Therapie versus optimierter Insulin-Standardtherapie bei Typ-1-Diabetes mit HbA1c≥9,0% und psychischer Belastung.</w:t>
      </w:r>
    </w:p>
    <w:p>
      <w:r>
        <w:rPr>
          <w:b/>
        </w:rPr>
        <w:t xml:space="preserve">Ergebnis: </w:t>
      </w:r>
      <w:r>
        <w:t>HbA1c sank unter myloop CamAPS FX um 2,5% (gegenüber –0,9% Standard; Differenz –1,7%, 95% KI –2,6 bis –0,8%). Time in Range stieg um 27,4% (gegenüber –2,7%; Differenz +28,8%, 95% KI +16,8 bis +40,9%). Diabetes Burnout sank nur in der Interventionsgruppe (3,5→2,0; p=0,012); psychisches Wohlbefinden verbesserte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Polen; Closed-Loop-Systeme in Deutschland in DMP-Typ-1 teilweise erstattbar; psychische Outcome-Verbesserung relevant für Versorgungsrealität.</w:t>
      </w:r>
    </w:p>
    <w:p>
      <w:r>
        <w:rPr>
          <w:color w:val="5A7D3A"/>
          <w:sz w:val="18"/>
        </w:rPr>
        <w:t>https://pubmed.ncbi.nlm.nih.gov/42755121/</w:t>
      </w:r>
    </w:p>
    <w:p>
      <w:pPr>
        <w:pStyle w:val="Heading2"/>
      </w:pPr>
      <w:r>
        <w:t>Orforglipron senkt 10-Jahres-Risiko für Typ-2-Diabetes und kardiovaskuläre Erkrankung</w:t>
      </w:r>
    </w:p>
    <w:p>
      <w:r>
        <w:rPr>
          <w:i/>
          <w:color w:val="666666"/>
          <w:sz w:val="18"/>
        </w:rPr>
        <w:t>Shinde S et al.  ·  Diabetes Obes Metab  ·  17.09.2026  ·  PMID 42750540</w:t>
      </w:r>
    </w:p>
    <w:p>
      <w:r>
        <w:t>Post-hoc-Analyse der Phase-3-Studie ATTAIN-1 zur Vorhersage des kardiometabolischen Risikos bei Personen mit Übergewicht/Adipositas ohne Diabetes unter wöchentlichem oralen Orforglipron versus Placebo über 72 Wochen.</w:t>
      </w:r>
    </w:p>
    <w:p>
      <w:r>
        <w:rPr>
          <w:b/>
        </w:rPr>
        <w:t xml:space="preserve">Ergebnis: </w:t>
      </w:r>
      <w:r>
        <w:t>Typ-2-Diabetes-Risiko sank unter Orforglipron um 48,6–59,4% gegenüber –10,5% unter Placebo (p&lt;0,0001). Nach Framingham-Modell reduzierte sich das totale kardiovaskuläre Risiko um 0,6–1,0% gegenüber +0,6% unter Placebo (p&lt;0,0001). Die Ergebnisse waren konsistent über drei validierte Risikorechner.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USA-amerikanische Studie; Datengrundlage nicht direkt auf deutsches Gesundheitssystem übertragbar.</w:t>
      </w:r>
    </w:p>
    <w:p>
      <w:r>
        <w:rPr>
          <w:color w:val="5A7D3A"/>
          <w:sz w:val="18"/>
        </w:rPr>
        <w:t>https://pubmed.ncbi.nlm.nih.gov/42750540/</w:t>
      </w:r>
    </w:p>
    <w:p>
      <w:pPr>
        <w:pStyle w:val="Heading2"/>
      </w:pPr>
      <w:r>
        <w:t>Fünfzig Jahre Kohortenstudien zum Typ-2-Diabetes: Lehren und Perspektiven</w:t>
      </w:r>
    </w:p>
    <w:p>
      <w:r>
        <w:rPr>
          <w:i/>
          <w:color w:val="666666"/>
          <w:sz w:val="18"/>
        </w:rPr>
        <w:t>Kim SH et al.  ·  Diabetologia  ·  26.08.2026  ·  PMID 42644887</w:t>
      </w:r>
    </w:p>
    <w:p>
      <w:r>
        <w:t>Narrative Übersichtsarbeit zur Rolle von Kohortenstudien in der Typ-2-Diabetes-Forschung der letzten 50 Jahre, ihre Bedeutung für Diagnostik, Komplikationen, Risikofaktoren und künftige Forschungsrichtungen.</w:t>
      </w:r>
    </w:p>
    <w:p>
      <w:r>
        <w:rPr>
          <w:b/>
        </w:rPr>
        <w:t xml:space="preserve">Ergebnis: </w:t>
      </w:r>
      <w:r>
        <w:t>Kohortenstudien haben das Verständnis von Typ-2-Diabetes erheblich vorangebracht und Leitlinien gestützt. Sie zeigen, dass Diagnostik, Screening, Komplikationen und Pathophysiologie am besten durch parallele Ansätze (Beobachtungsstudien und Experimente) untersucht werden. Künftige Richtungen: künstliche Intelligenz, Präzisions-Gesundheit und Exposom.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Multikontinentale Metaanalyse europäischer und globaler Kohorten; Methodologie direkt auf deutsche epidemiologische Forschung übertragbar.</w:t>
      </w:r>
    </w:p>
    <w:p>
      <w:r>
        <w:rPr>
          <w:color w:val="5A7D3A"/>
          <w:sz w:val="18"/>
        </w:rPr>
        <w:t>https://pubmed.ncbi.nlm.nih.gov/42644887/</w:t>
      </w:r>
    </w:p>
    <w:p>
      <w:pPr>
        <w:pStyle w:val="Heading2"/>
      </w:pPr>
      <w:r>
        <w:t>SGLT2-Hemmer in England: Unterversorgung trotz Leitlinienempfehlung</w:t>
      </w:r>
    </w:p>
    <w:p>
      <w:r>
        <w:rPr>
          <w:i/>
          <w:color w:val="666666"/>
          <w:sz w:val="18"/>
        </w:rPr>
        <w:t>Muller P et al.  ·  Diabetes Obes Metab  ·  04.08.2026  ·  PMID 42552240</w:t>
      </w:r>
    </w:p>
    <w:p>
      <w:r>
        <w:t>Bevölkerungsbasierte Querschnittsstudie zur Uptake der NICE-Leitlinie (2022) für SGLT2-Hemmer bei Typ-2-Diabetes in England anhand von 587.826 Patienten mit klinischen Daten vom 1. September 2023.</w:t>
      </w:r>
    </w:p>
    <w:p>
      <w:r>
        <w:rPr>
          <w:b/>
        </w:rPr>
        <w:t xml:space="preserve">Ergebnis: </w:t>
      </w:r>
      <w:r>
        <w:t>18 Monate nach Leitlinienaktualisierung lag die SGLT2-Hemmer-Verordnung bei 19,5% (kardiovaskuläre Erkrankung), 29,4% (Herzinsuffizienz), 30,5% (beide) und 19,9–20,2% (hohes kardiovaskuläres Risiko). Unterversorgung war besonders bei Frauen, schwarzen Patienten und Personen aus benachteiligten Gebieten ausgeprägt.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NHS-System; direkt vergleichbar mit Deutschen DMP-Strukturen und Leitlinienimplementierung.</w:t>
      </w:r>
    </w:p>
    <w:p>
      <w:r>
        <w:rPr>
          <w:color w:val="5A7D3A"/>
          <w:sz w:val="18"/>
        </w:rPr>
        <w:t>https://pubmed.ncbi.nlm.nih.gov/42552240/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Frühe Glukosemesstechnik verbessert kognitive Entwicklung bei Kinder-Typ-1-Diabetes</w:t>
      </w:r>
    </w:p>
    <w:p>
      <w:r>
        <w:rPr>
          <w:i/>
          <w:color w:val="666666"/>
          <w:sz w:val="18"/>
        </w:rPr>
        <w:t>Bassi M et al.  ·  Diabetes Res Clin Pract  ·  17.09.2026  ·  PMID 42753828</w:t>
      </w:r>
    </w:p>
    <w:p>
      <w:r>
        <w:t>Die prospektive Kohortenstudie mit 153 Kindern und Jugendlichen (6–17 Jahre) prüfte, ob kontinuierliche Glukosemessung (CGM) und automatisierte Insulinabgabe mit neuropsychologischen Ergebnissen (WISC-IV, Exekutivfunktion, Verhalten) korrelieren.</w:t>
      </w:r>
    </w:p>
    <w:p>
      <w:r>
        <w:rPr>
          <w:b/>
        </w:rPr>
        <w:t xml:space="preserve">Ergebnis: </w:t>
      </w:r>
      <w:r>
        <w:t>Anhaltende CGM-Nutzung (≥90% der Krankheitsdauer) und höherer automatisierter Betrieb (≥50%) waren mit höherem Verbal Comprehension Index (p=0,005 und p=0,025) und General Ability Index (p=0,015 und p=0,043) assoziiert. HbA1c ≤53 mmol/mol in den ersten 2–5 Jahren nach Diagnose korrelierte mit besseren exekutiven Funktionen und Verhaltenszielen.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Zentren, kinderdiabetologisch relevant für Technologie-Einsatz</w:t>
      </w:r>
    </w:p>
    <w:p>
      <w:r>
        <w:rPr>
          <w:color w:val="5A7D3A"/>
          <w:sz w:val="18"/>
        </w:rPr>
        <w:t>https://pubmed.ncbi.nlm.nih.gov/42753828/</w:t>
      </w:r>
    </w:p>
    <w:p>
      <w:pPr>
        <w:pStyle w:val="Heading2"/>
      </w:pPr>
      <w:r>
        <w:t>Sensortechnik ohne Unterbrechung reduziert Automatikmodus-Unterbrechungen um 23 Min/Tag</w:t>
      </w:r>
    </w:p>
    <w:p>
      <w:r>
        <w:rPr>
          <w:i/>
          <w:color w:val="666666"/>
          <w:sz w:val="18"/>
        </w:rPr>
        <w:t>Marigliano M et al.  ·  Diabetes Res Clin Pract  ·  17.09.2026  ·  PMID 42753827</w:t>
      </w:r>
    </w:p>
    <w:p>
      <w:r>
        <w:t>Multizentrische retrospektive Studie an 42 Jugendlichen, die von Guardian-4- auf Simplera-Sync-Sensor wechselten, verglich kontinuierliche-Glukosemessungs-Parameter und Patient-Reported Outcomes nach MiniMed 780G zwischen letzten zwei Wochen alter und neuer Sensornutzung.</w:t>
      </w:r>
    </w:p>
    <w:p>
      <w:r>
        <w:rPr>
          <w:b/>
        </w:rPr>
        <w:t xml:space="preserve">Ergebnis: </w:t>
      </w:r>
      <w:r>
        <w:t>Automatisierter Modus stieg von 95,3% auf 97,1% (+1,8 Prozentpunkte, ~23 Min/Tag; p&lt;0,02). Time-in-Range (70–180 mg/dL) stieg von 76,7% auf 79,3% (p&lt;0,05); Mittelglukose sank von 146,0 auf 141,3 mg/dL (p&lt;0,05). Behandlungszufriedenheit erhöht, wahrgenommene Last verringert (beide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Verbundnetz, technologie-/gerätepolitik für DMP-Modelle relevant</w:t>
      </w:r>
    </w:p>
    <w:p>
      <w:r>
        <w:rPr>
          <w:color w:val="5A7D3A"/>
          <w:sz w:val="18"/>
        </w:rPr>
        <w:t>https://pubmed.ncbi.nlm.nih.gov/42753827/</w:t>
      </w:r>
    </w:p>
    <w:p>
      <w:pPr>
        <w:pStyle w:val="Heading2"/>
      </w:pPr>
      <w:r>
        <w:t>Orales Semaglutid reduziert kardiovaskuläres Risiko in Echtpraxis stärker als DPP4/SGLT2i</w:t>
      </w:r>
    </w:p>
    <w:p>
      <w:r>
        <w:rPr>
          <w:i/>
          <w:color w:val="666666"/>
          <w:sz w:val="18"/>
        </w:rPr>
        <w:t>Tan X et al.  ·  Diabetes Ther  ·  17.09.2026  ·  PMID 42753116</w:t>
      </w:r>
    </w:p>
    <w:p>
      <w:r>
        <w:t>Beobachtungskohortenstudie mit US-Verwaltungsdaten an 10.878 Semaglutid-Neupatienten mit Typ-2-Diabetes und ASKVD verglich MACE und Sterblichkeit gegenüber Dipeptidylpeptidase-4-Inhibitoren (DPP4i, n=7.218) und SGLT2-Inhibitoren (SGLT2i, n=21.572).</w:t>
      </w:r>
    </w:p>
    <w:p>
      <w:r>
        <w:rPr>
          <w:b/>
        </w:rPr>
        <w:t xml:space="preserve">Ergebnis: </w:t>
      </w:r>
      <w:r>
        <w:t>Semaglutid zeigte 17–21% Reduktion des 3-Punkte-MACE vs. alle Vergleicher (p&lt;0,001). Gegen DPP4i: 22–24% Risikoreduktion (p&lt;0,001). Gegen SGLT2i: 21–22% Risikoreduktion für 3-Punkte-MACE (p&lt;0,001); signifikant niedrigere Gesamtsterblichkeit und Schlaganfallrisiko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praxisrelevant für Deutschland nur beim kardiovaskulären Schutzprofil</w:t>
      </w:r>
    </w:p>
    <w:p>
      <w:r>
        <w:rPr>
          <w:color w:val="5A7D3A"/>
          <w:sz w:val="18"/>
        </w:rPr>
        <w:t>https://pubmed.ncbi.nlm.nih.gov/42753116/</w:t>
      </w:r>
    </w:p>
    <w:p>
      <w:pPr>
        <w:pStyle w:val="Heading2"/>
      </w:pPr>
      <w:r>
        <w:t>MVX-Index vorhersagt Sterblichkeit bei Typ-2-Diabetes stärker als klassische Risikofaktoren</w:t>
      </w:r>
    </w:p>
    <w:p>
      <w:r>
        <w:rPr>
          <w:i/>
          <w:color w:val="666666"/>
          <w:sz w:val="18"/>
        </w:rPr>
        <w:t>Keech AC et al.  ·  Diabetologia  ·  17.09.2026  ·  PMID 42752966</w:t>
      </w:r>
    </w:p>
    <w:p>
      <w:r>
        <w:t>Die Studie untersuchte, ob NMR-basierte metabolische Vulnerabilitätsindizes (MVX) in einer 5-Jahres-Verlaufsbeobachtung von 9.550 Patienten mit Typ-2-Diabetes die Mortalität besser prognostizieren als etablierte klinische Parameter.</w:t>
      </w:r>
    </w:p>
    <w:p>
      <w:r>
        <w:rPr>
          <w:b/>
        </w:rPr>
        <w:t xml:space="preserve">Ergebnis: </w:t>
      </w:r>
      <w:r>
        <w:t>MVX in der höchsten Quintile war mit mehr als doppeltem Mortalitätsrisiko assoziiert (HR 2,31; 95%-KI 1,71–3,12); jede Standardabweichung MVX-Anstieg bedeutete 75% höheres Mortalitätsrisiko (p&lt;0,001). MVX verbesserte die Risiko-Diskrimination (C-Statistik 0,725 → 0,737; p=0,0003) über alle etablierten Faktoren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Australische/neuseeländische Klinikdaten, aber Methodik übertragbar auf deutsche Register</w:t>
      </w:r>
    </w:p>
    <w:p>
      <w:r>
        <w:rPr>
          <w:color w:val="5A7D3A"/>
          <w:sz w:val="18"/>
        </w:rPr>
        <w:t>https://pubmed.ncbi.nlm.nih.gov/42752966/</w:t>
      </w:r>
    </w:p>
    <w:p>
      <w:pPr>
        <w:pStyle w:val="Heading2"/>
      </w:pPr>
      <w:r>
        <w:t>Frühe Unterernährung beeinträchtigt Insulinsensitivität dauerhaft, auch nach Gewichtszunahme</w:t>
      </w:r>
    </w:p>
    <w:p>
      <w:r>
        <w:rPr>
          <w:i/>
          <w:color w:val="666666"/>
          <w:sz w:val="18"/>
        </w:rPr>
        <w:t>Cox SE et al.  ·  Diabet Med  ·  16.09.2026  ·  PMID 42748280</w:t>
      </w:r>
    </w:p>
    <w:p>
      <w:r>
        <w:t>Querschnitts-Analyse aus sechs prospektiven Kohorten in Sambia, Tansania, Indien und Philippinen (n=2.172) prüfte, ob frühere Wasting-Malnutrition (Emaziierung) die Insulin-Sekation und -Sensitivität in der Gegenwart beeinflusst, stratifiziert nach aktuellem BMI.</w:t>
      </w:r>
    </w:p>
    <w:p>
      <w:r>
        <w:rPr>
          <w:b/>
        </w:rPr>
        <w:t xml:space="preserve">Ergebnis: </w:t>
      </w:r>
      <w:r>
        <w:t>Kinder mit Emaziierung hatten 20–24% niedrigere Insulinsensitivität (Matsuda-Index). Erwachsene mit früher Emaziierung (vor 36–37 Jahren) zeigten auch nach Anpassung für heutigen BMI 18% niedrigere Sensitivität. Kürzliche Emaziierung (3–17 Jahre) korrelierte mit 10–20% niedrigerer Sekretion, aber 21–47% höherer Sensitivität (aufgrund niedriger aktueller BMI).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Afrika – wichtig für LMICs; für Deutschland indirekt, wenn Migration/frühe Mangelernährung-Kohorten</w:t>
      </w:r>
    </w:p>
    <w:p>
      <w:r>
        <w:rPr>
          <w:color w:val="5A7D3A"/>
          <w:sz w:val="18"/>
        </w:rPr>
        <w:t>https://pubmed.ncbi.nlm.nih.gov/42748280/</w:t>
      </w:r>
    </w:p>
    <w:p>
      <w:pPr>
        <w:pStyle w:val="Heading2"/>
      </w:pPr>
      <w:r>
        <w:t>Indiens Strategien zur Kostenreduktion moderner Diabetesmittel – Vorlage für LMICs und High-Income-Länder</w:t>
      </w:r>
    </w:p>
    <w:p>
      <w:r>
        <w:rPr>
          <w:i/>
          <w:color w:val="666666"/>
          <w:sz w:val="18"/>
        </w:rPr>
        <w:t>Mohan V et al.  ·  Diabetes Care  ·  16.09.2026  ·  PMID 42747945</w:t>
      </w:r>
    </w:p>
    <w:p>
      <w:r>
        <w:t>Expertenbericht aus dem führenden indischen Diabeteszentrum beschreibt pharmazeutische Politik, Preisregulation, generische Produktion und öffentliche Verteilungsinitiativen, die in Indien 60–90% Kostenreduktion für SGLT2i und GLP-1-RA nach Patentablauf erreicht haben.</w:t>
      </w:r>
    </w:p>
    <w:p>
      <w:r>
        <w:rPr>
          <w:b/>
        </w:rPr>
        <w:t xml:space="preserve">Ergebnis: </w:t>
      </w:r>
      <w:r>
        <w:t>Indien hat 15- bis 65-fache Preisdifferenzen gegenüber USA-Listenpreisen bei selektierten Mitteln erzielt. Patentablauf, starker Generika-Wettbewerb, strukturierte Preisregulation und Ayushman-Bharat-Regierungsprogramme haben Zugang für Arme und ländliche Bevölkerung erheblich verbessert. Qualitäts- und Pharmakokinetik-Unterschiede zwischen Herstellern bleiben eine Herausforderung.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LMICs – Lehren für Deutschland nur beim regulatorischen/pricing-Modell, nicht direkt übertragbar</w:t>
      </w:r>
    </w:p>
    <w:p>
      <w:r>
        <w:rPr>
          <w:color w:val="5A7D3A"/>
          <w:sz w:val="18"/>
        </w:rPr>
        <w:t>https://pubmed.ncbi.nlm.nih.gov/42747945/</w:t>
      </w:r>
    </w:p>
    <w:p>
      <w:pPr>
        <w:pStyle w:val="Heading2"/>
      </w:pPr>
      <w:r>
        <w:t>Kohortenstudien als Grundlage der modernen Diabetologie – 50 Jahre Wissensentwicklung</w:t>
      </w:r>
    </w:p>
    <w:p>
      <w:r>
        <w:rPr>
          <w:i/>
          <w:color w:val="666666"/>
          <w:sz w:val="18"/>
        </w:rPr>
        <w:t>Sargent JL et al.  ·  Diabetologia  ·  16.09.2026  ·  PMID 42747447</w:t>
      </w:r>
    </w:p>
    <w:p>
      <w:r>
        <w:t>Narrative Übersichtsarbeit von Kohortenforschern aus weltweit über 30 Zentren fasst zusammen, wie Beobachtungsstudien das Verständnis von Typ-2-Diabetes-Entstehung, -Komplikationen und -Risikofaktoren über fünf Dekaden vorangebracht haben.</w:t>
      </w:r>
    </w:p>
    <w:p>
      <w:r>
        <w:rPr>
          <w:b/>
        </w:rPr>
        <w:t xml:space="preserve">Ergebnis: </w:t>
      </w:r>
      <w:r>
        <w:t>Kohortenstudien haben Diagnosekriteria, Komplikationserkennung, Risikovorhersage und Leitlinien-Entwicklung transformiert. Die Analyse behandelt Stärken/Schwächen gegenüber RCTs und experimentellen Modellen; Zukunftswege (KI, Präzisions-Health, Exposom) sind skizziert. Schluss: experimentelle und beobachtende Forschung sind komplementär für Verständnis und Politikwandel.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Evidenzsynthese, methodologisch für alle Gesundheitssysteme grundlegend</w:t>
      </w:r>
    </w:p>
    <w:p>
      <w:r>
        <w:rPr>
          <w:color w:val="5A7D3A"/>
          <w:sz w:val="18"/>
        </w:rPr>
        <w:t>https://pubmed.ncbi.nlm.nih.gov/42747447/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CGM-Trajektorien bei Typ-1-Diabetes: Altersgruppen profitieren unterschiedlich</w:t>
      </w:r>
    </w:p>
    <w:p>
      <w:r>
        <w:rPr>
          <w:i/>
          <w:color w:val="666666"/>
          <w:sz w:val="18"/>
        </w:rPr>
        <w:t>Yoo JH et al.  ·  Diabetes Care  ·  16.09.2026  ·  PMID 42747916</w:t>
      </w:r>
    </w:p>
    <w:p>
      <w:r>
        <w:t>Dreiachähr-Kohortenstudie mit 1028 Personen und 3441 CGM-Profilen zur Analyse von Glukoseverlauf stratifiziert nach Alter, Nierenfunktion, Betazellfunktion und BMI.</w:t>
      </w:r>
    </w:p>
    <w:p>
      <w:r>
        <w:rPr>
          <w:b/>
        </w:rPr>
        <w:t xml:space="preserve">Ergebnis: </w:t>
      </w:r>
      <w:r>
        <w:t>Ältere Erwachsene zeigen Verbesserung der Time in Range (TIR) vergleichbar zu jüngeren (β=0,110, p=0,102) ohne Verschärfung von Hypoglykämien. Bei chronischer Nierenkrankheit signifikante TIR-Verbesserung (β=0,228, p=0,002). Schwere Betazelleninsuffizienz limitiert TIR-Gewinne (β=-0,119, p=0,025); substantielle Heterogenität innerhalb Subgruppen unterstützt individualisierte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Konsequenz: Subgruppengerechte CGM-Ziele sind praktikabel und nötig</w:t>
      </w:r>
    </w:p>
    <w:p>
      <w:r>
        <w:rPr>
          <w:color w:val="5A7D3A"/>
          <w:sz w:val="18"/>
        </w:rPr>
        <w:t>https://pubmed.ncbi.nlm.nih.gov/42747916/</w:t>
      </w:r>
    </w:p>
    <w:p>
      <w:pPr>
        <w:pStyle w:val="Heading2"/>
      </w:pPr>
      <w:r>
        <w:t>Typ-1-Diabetes bei Erwachsenen: Leitlinie mit Gewicht auf neue Technologien</w:t>
      </w:r>
    </w:p>
    <w:p>
      <w:r>
        <w:rPr>
          <w:i/>
          <w:color w:val="666666"/>
          <w:sz w:val="18"/>
        </w:rPr>
        <w:t>Holt RIG et al.  ·  Diabetologia  ·  16.09.2026  ·  PMID 42747450</w:t>
      </w:r>
    </w:p>
    <w:p>
      <w:r>
        <w:t>Aktualisierte internationale Leitlinie von ADA und EASD zur Behandlung von Typ-1-Diabetes bei Erwachsenen mit Fokus auf Technologien, Screeningverfahren und Management von Adipositas sowie psychosozialer Belastung.</w:t>
      </w:r>
    </w:p>
    <w:p>
      <w:r>
        <w:rPr>
          <w:b/>
        </w:rPr>
        <w:t xml:space="preserve">Ergebnis: </w:t>
      </w:r>
      <w:r>
        <w:t>Die Leitlinie integriert kontinuierliche Glukosemessung (CGM) und automatisierte Insulingabesysteme als Standardtherapie, empfiehlt psychische Unterstützung und adressiert erstmals systematisch Langzeit-Komplikationsscreening sowie Prävention von Typ-1-Diabetes im Stadium 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ADA/EASD-Konsens, anwendbar auf deutsches Versorgungssystem mit Anpassung an DMP-Struktur</w:t>
      </w:r>
    </w:p>
    <w:p>
      <w:r>
        <w:rPr>
          <w:color w:val="5A7D3A"/>
          <w:sz w:val="18"/>
        </w:rPr>
        <w:t>https://pubmed.ncbi.nlm.nih.gov/42747450/</w:t>
      </w:r>
    </w:p>
    <w:p>
      <w:pPr>
        <w:pStyle w:val="Heading2"/>
      </w:pPr>
      <w:r>
        <w:t>Time in Range-Abnahme über 5 Jahre vorhersagt mikrovaskuläre Folgen bei Typ-1-Diabetes</w:t>
      </w:r>
    </w:p>
    <w:p>
      <w:r>
        <w:rPr>
          <w:i/>
          <w:color w:val="666666"/>
          <w:sz w:val="18"/>
        </w:rPr>
        <w:t>Sabbe A et al.  ·  J Clin Endocrinol Metab  ·  16.09.2026  ·  PMID 42745423</w:t>
      </w:r>
    </w:p>
    <w:p>
      <w:r>
        <w:t>Real-World-Kohortenstudie (246 Personen, 24 Jahre Diabetesdauer) zur Assoziation zwischen CGM-Metriken und Auftreten von Nephropathie, Retinopathie oder Neuropathie über 5 Jahre.</w:t>
      </w:r>
    </w:p>
    <w:p>
      <w:r>
        <w:rPr>
          <w:b/>
        </w:rPr>
        <w:t xml:space="preserve">Ergebnis: </w:t>
      </w:r>
      <w:r>
        <w:t>HbA1c sank von 7,6% auf 7,2%, TIR stieg von 50% auf 61%. Eine TIR-Abnahme ≥10% war assoziiert mit Komplikationsrate 33,3% (vs. 7,9% bei stabiler TIR, 15,0% bei Zunahme, p=0,011). Change in TIR blieb unabhängig mit Outcome assoziiert (AUC 0,757–0,787). Modelle mit CGM-Metriken und Alter zeigen akzeptable diskriminative Leistung.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Versorgungsstruktur; TIR-Trend als Prognosemarker über HbA1c hinaus relevant</w:t>
      </w:r>
    </w:p>
    <w:p>
      <w:r>
        <w:rPr>
          <w:color w:val="5A7D3A"/>
          <w:sz w:val="18"/>
        </w:rPr>
        <w:t>https://pubmed.ncbi.nlm.nih.gov/42745423/</w:t>
      </w:r>
    </w:p>
    <w:p>
      <w:pPr>
        <w:pStyle w:val="Heading2"/>
      </w:pPr>
      <w:r>
        <w:t>Diabetes Distress: Evidenzbasierte Leitlinie zur Diagnostik und Therapie</w:t>
      </w:r>
    </w:p>
    <w:p>
      <w:r>
        <w:rPr>
          <w:i/>
          <w:color w:val="666666"/>
          <w:sz w:val="18"/>
        </w:rPr>
        <w:t>Speight J et al.  ·  Diabetologia  ·  15.09.2026  ·  PMID 42744915</w:t>
      </w:r>
    </w:p>
    <w:p>
      <w:r>
        <w:t>EASD-Leitlinie mit systematischer Evidenzbewertung zu Assessment und Behandlung der emotionalen Belastung (Diabetes Distress) bei Typ-1 und Typ-2-Diabetes im Erwachsenenalter.</w:t>
      </w:r>
    </w:p>
    <w:p>
      <w:r>
        <w:rPr>
          <w:b/>
        </w:rPr>
        <w:t xml:space="preserve">Ergebnis: </w:t>
      </w:r>
      <w:r>
        <w:t>Acht Good-Practice-Statements zum Screening (Routinediskussion psychisches Wohlbefinden, validierte Messtools), für Typ-1-Diabetes: CGM und automatisierte Insulingabe reduzieren Distress; für Typ-2-Diabetes: psychologische und schulische Interventionen wirksam; Empfehlungen basieren auf GRADE-Methodik mit systematischem Review und Metaanalyse.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Versorgungssystem, direkt in deutsches DMP integrierbar, Training erforderlich</w:t>
      </w:r>
    </w:p>
    <w:p>
      <w:r>
        <w:rPr>
          <w:color w:val="5A7D3A"/>
          <w:sz w:val="18"/>
        </w:rPr>
        <w:t>https://pubmed.ncbi.nlm.nih.gov/42744915/</w:t>
      </w:r>
    </w:p>
    <w:p>
      <w:pPr>
        <w:pStyle w:val="Heading2"/>
      </w:pPr>
      <w:r>
        <w:t>Prävention Typ-2-Diabetes: Bewegungsreaktion differiert nach Glukosestatus</w:t>
      </w:r>
    </w:p>
    <w:p>
      <w:r>
        <w:rPr>
          <w:i/>
          <w:color w:val="666666"/>
          <w:sz w:val="18"/>
        </w:rPr>
        <w:t>James E et al.  ·  Diabetologia  ·  14.09.2026  ·  PMID 42736402</w:t>
      </w:r>
    </w:p>
    <w:p>
      <w:r>
        <w:t>Gepoolte Analyse von 3 RCTs (2150 Personen, bis 48 Monate) zu Effekt strukturierter Lebensstil-Interventionen auf Bewegung und Glukose stratifiziert nach Baseline-Glukose-Phänotyp.</w:t>
      </w:r>
    </w:p>
    <w:p>
      <w:r>
        <w:rPr>
          <w:b/>
        </w:rPr>
        <w:t xml:space="preserve">Ergebnis: </w:t>
      </w:r>
      <w:r>
        <w:t>IFG+IGT-Gruppe: Intervention erhöhte Schritte um 808/Tag (95%-KI 402–1213) mit 2-h-Glukose-Senkung –0,5 mmol/L (p=0,001). Reine IFG-Gruppe nicht responsiv (71 Schritte, KI –429–571, n.s.). Normoglykämie und IGT-Gruppen zeigten intermediäre Effekte. Heterogene Baseline-Bewegungsmengen. Schluss: Klinische Wirksamkeit von Diabetes-Präventions-Programmen differiert nach Glykämiestatus.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Großbritannien/NIHR; Implikation: Interventionen müssen nach Phänotyp tailored werden</w:t>
      </w:r>
    </w:p>
    <w:p>
      <w:r>
        <w:rPr>
          <w:color w:val="5A7D3A"/>
          <w:sz w:val="18"/>
        </w:rPr>
        <w:t>https://pubmed.ncbi.nlm.nih.gov/42736402/</w:t>
      </w:r>
    </w:p>
    <w:p>
      <w:pPr>
        <w:pStyle w:val="Heading2"/>
      </w:pPr>
      <w:r>
        <w:t>Diabetes und Diphtherie durch Corynebacterium ulcerans: deutsches Risiko-Register 2017–2022</w:t>
      </w:r>
    </w:p>
    <w:p>
      <w:r>
        <w:rPr>
          <w:i/>
          <w:color w:val="666666"/>
          <w:sz w:val="18"/>
        </w:rPr>
        <w:t>Badenschier F et al.  ·  Dtsch Arztebl Int  ·  10.07.2026  ·  PMID 42687590</w:t>
      </w:r>
    </w:p>
    <w:p>
      <w:r>
        <w:t>Analyse des intensivierten Diphtherie-Surveillance-Systems (RKI) zur Assoziation zwischen Diabetes mellitus und invasivem C.-ulcerans-Infekt (Diphtherie) in Deutschland.</w:t>
      </w:r>
    </w:p>
    <w:p>
      <w:r>
        <w:rPr>
          <w:b/>
        </w:rPr>
        <w:t xml:space="preserve">Ergebnis: </w:t>
      </w:r>
      <w:r>
        <w:t>Gesamtzeitraum: 8 Fälle C.-ulcerans-Diphtherie. Diabetes mellitus und Haustierkontakt waren signifikante Risikofaktoren. Diabetiker zeigten erhöhte Prädisposition für schwere Infektionen. Daten aus deutschem Surveillance-System belegen epidemiologische Assoziation; Impfstatus und Management bei Diabetikern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RKI-Surveillance; direkter Anwendungsbezug für Diabetologen bei Impfempfehlungen</w:t>
      </w:r>
    </w:p>
    <w:p>
      <w:r>
        <w:rPr>
          <w:color w:val="5A7D3A"/>
          <w:sz w:val="18"/>
        </w:rPr>
        <w:t>https://pubmed.ncbi.nlm.nih.gov/42687590/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Verschiedene Erkennungsraten bei gezieltem Diabetes-Screening in Dänemark</w:t>
      </w:r>
    </w:p>
    <w:p>
      <w:r>
        <w:rPr>
          <w:i/>
          <w:color w:val="666666"/>
          <w:sz w:val="18"/>
        </w:rPr>
        <w:t>Mateu NC et al.  ·  BMJ Open Diabetes Res Care  ·  15.09.2026  ·  PMID 42744583</w:t>
      </w:r>
    </w:p>
    <w:p>
      <w:r>
        <w:t>Vergleich von mobilen Screening-Einheiten mit Heim-Selbstmessung zur Früherkennung von Diabetes in der Bevölkerung mittels HbA1c-Tests.</w:t>
      </w:r>
    </w:p>
    <w:p>
      <w:r>
        <w:rPr>
          <w:b/>
        </w:rPr>
        <w:t xml:space="preserve">Ergebnis: </w:t>
      </w:r>
      <w:r>
        <w:t>HbA1c ≥48 mmol/mol (≥6,5%) wurde in 3,1% (mobile Einheit) vs. 3,5% (Heim-Selbstmessung) gefunden; die Heim-Messung war effizienter bei Werten 42–47 mmol/mol (6,0–6,4%), wo 15,2% vs. 9,1% erreicht wurden. Beide Methoden sind komplementär.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vergleichbarer nordeuropäischer Sozialversicherung, hohe Übertragbarkeit auf deutsche Screening-Strukturen</w:t>
      </w:r>
    </w:p>
    <w:p>
      <w:r>
        <w:rPr>
          <w:color w:val="5A7D3A"/>
          <w:sz w:val="18"/>
        </w:rPr>
        <w:t>https://pubmed.ncbi.nlm.nih.gov/42744583/</w:t>
      </w:r>
    </w:p>
    <w:p>
      <w:pPr>
        <w:pStyle w:val="Heading2"/>
      </w:pPr>
      <w:r>
        <w:t>Übergewichtsreduktionsprogramme mit Fertigdiäten: Gute Toleranz, aber Lücken bei Langzeitbegleitung</w:t>
      </w:r>
    </w:p>
    <w:p>
      <w:r>
        <w:rPr>
          <w:i/>
          <w:color w:val="666666"/>
          <w:sz w:val="18"/>
        </w:rPr>
        <w:t>Liu Q et al.  ·  Diabetes Res Clin Pract  ·  15.09.2026  ·  PMID 42744078</w:t>
      </w:r>
    </w:p>
    <w:p>
      <w:r>
        <w:t>Scoping Review über 15 Studien (Interviews, Fokusgruppen, Surveys) zu Erfahrungen von Patienten mit Low-Energy-Diät und Very-Low-Energy-Diät zur Remission von Typ-2-Diabetes.</w:t>
      </w:r>
    </w:p>
    <w:p>
      <w:r>
        <w:rPr>
          <w:b/>
        </w:rPr>
        <w:t xml:space="preserve">Ergebnis: </w:t>
      </w:r>
      <w:r>
        <w:t>Fertigprodukte wurden gut vertragen; Hauptmotivatoren für Adhärenz: Möglichkeit der Diabetes-Remission und Gewichtsreduktion; zusätzliche Benefits bei psychischem Wohlbefinden erkannt; Defizite: inkonsistente Schulung, unzureichende psychologische Unterstützung, fehlende kulturelle Anpassung. Verständnis des Verhaltens nach Programm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übertragbare Erkenntnisse zu Adhärenz-Barrieren für deutsche Remissions-Programme, besonders bezüglich psychologischer Unterstützung</w:t>
      </w:r>
    </w:p>
    <w:p>
      <w:r>
        <w:rPr>
          <w:color w:val="5A7D3A"/>
          <w:sz w:val="18"/>
        </w:rPr>
        <w:t>https://pubmed.ncbi.nlm.nih.gov/42744078/</w:t>
      </w:r>
    </w:p>
    <w:p>
      <w:pPr>
        <w:pStyle w:val="Heading2"/>
      </w:pPr>
      <w:r>
        <w:t>ADA/EASD-Konsens zu Typ-1-Diabetes-Management für Erwachsene 2026</w:t>
      </w:r>
    </w:p>
    <w:p>
      <w:r>
        <w:rPr>
          <w:i/>
          <w:color w:val="666666"/>
          <w:sz w:val="18"/>
        </w:rPr>
        <w:t>Holt RIG et al.  ·  Diabetes Care  ·  15.09.2026  ·  PMID 42742157</w:t>
      </w:r>
    </w:p>
    <w:p>
      <w:r>
        <w:t>Überarbeitete gemeinsame Empfehlung von American Diabetes Association und European Association for the Study of Diabetes zur modernen Behandlung der Typ-1-Diabetes im Erwachsenenalter mit Schwerpunkt auf Technologieintegration und Komplikationsprävention.</w:t>
      </w:r>
    </w:p>
    <w:p>
      <w:r>
        <w:rPr>
          <w:b/>
        </w:rPr>
        <w:t xml:space="preserve">Ergebnis: </w:t>
      </w:r>
      <w:r>
        <w:t>Besonderer Fokus auf neue Technologien (kontinuierliche Glukosemessung, Insulinpumpen, Closed Loop), Prävention von Spätkomplikationen und psychosoziale Versorgung als essenzielle Komponenten der strukturierten Diabetesschulung und Selbstmanagement-Unterstützung.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evidenzbasierte Leitlinie, direkt übertragbar auf deutsches DMP und strukturierte Behandlungsprogramme</w:t>
      </w:r>
    </w:p>
    <w:p>
      <w:r>
        <w:rPr>
          <w:color w:val="5A7D3A"/>
          <w:sz w:val="18"/>
        </w:rPr>
        <w:t>https://pubmed.ncbi.nlm.nih.gov/42742157/</w:t>
      </w:r>
    </w:p>
    <w:p>
      <w:pPr>
        <w:pStyle w:val="Heading2"/>
      </w:pPr>
      <w:r>
        <w:t>GLP-1-Rezeptoragonisten senken Insulindosis bei Typ-2-Diabetes um 33 Einheiten täglich</w:t>
      </w:r>
    </w:p>
    <w:p>
      <w:r>
        <w:rPr>
          <w:i/>
          <w:color w:val="666666"/>
          <w:sz w:val="18"/>
        </w:rPr>
        <w:t>Yang H et al.  ·  Diabetes Obes Metab  ·  14.09.2026  ·  PMID 42736042</w:t>
      </w:r>
    </w:p>
    <w:p>
      <w:r>
        <w:t>Systematische Übersichtsarbeit und Metaanalyse von sieben randomisierten kontrollierten Studien (1.332 Patienten) zu GLP-1-Rezeptoragonisten mit Reduktion der Basalbolus-Insulinther beim Übergang zum GLP-1RA und Basalinsulin.</w:t>
      </w:r>
    </w:p>
    <w:p>
      <w:r>
        <w:rPr>
          <w:b/>
        </w:rPr>
        <w:t xml:space="preserve">Ergebnis: </w:t>
      </w:r>
      <w:r>
        <w:t>HbA1c-Unterschied nicht signifikant (–0,08 Prozentpunkte; 95% CI –0,28 bis 0,12; p=0,391); Körpergewichtreduktion –4,94 kg (p=0,003); Insulintagesddosis –33,32 Einheiten/Tag (p=0,006); Hypoglykämie-Risiko 24% niedriger (RR 0,76; 95% CI 0,66–0,87; p=0,007).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gültig für deutsche Versorgung und DMP-relevante Therapieoptimierung</w:t>
      </w:r>
    </w:p>
    <w:p>
      <w:r>
        <w:rPr>
          <w:color w:val="5A7D3A"/>
          <w:sz w:val="18"/>
        </w:rPr>
        <w:t>https://pubmed.ncbi.nlm.nih.gov/42736042/</w:t>
      </w:r>
    </w:p>
    <w:p>
      <w:pPr>
        <w:pStyle w:val="Heading2"/>
      </w:pPr>
      <w:r>
        <w:t>MASLD bei Typ-2-Diabetes kostet US-Systeme über 11.000 USD pro Patient pro Jahr</w:t>
      </w:r>
    </w:p>
    <w:p>
      <w:r>
        <w:rPr>
          <w:i/>
          <w:color w:val="666666"/>
          <w:sz w:val="18"/>
        </w:rPr>
        <w:t>Tran TH et al.  ·  Diabetes Obes Metab  ·  14.09.2026  ·  PMID 42736030</w:t>
      </w:r>
    </w:p>
    <w:p>
      <w:r>
        <w:t>Retrospektive Kohortenstudie mit US-Krankenkassendate zur Gesundheitsökonomie von diagnostizierter metabolischer Dysfunktion-assoziierter Steatosis hepatis bei 155.172 Patienten mit Typ-2-Diabetes.</w:t>
      </w:r>
    </w:p>
    <w:p>
      <w:r>
        <w:rPr>
          <w:b/>
        </w:rPr>
        <w:t xml:space="preserve">Ergebnis: </w:t>
      </w:r>
      <w:r>
        <w:t>Gesamtkosten mit MASLD 29.734 USD vs. 18.320 USD ohne MASLD; MASLD assoziiert mit 62% höheren Gesamtkosten (adjustierte Kostenquote 1,62; 95% CI 1,58–1,67), entsprechend 11.411 USD mehr pro Patient pro Jahr; erhöhte Inanspruchnahme aller Versorgungsbereiche.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anderer Kostenstruktur, kostentechnische Befunde partiell übertragbar auf deutsche Kostenträger</w:t>
      </w:r>
    </w:p>
    <w:p>
      <w:r>
        <w:rPr>
          <w:color w:val="5A7D3A"/>
          <w:sz w:val="18"/>
        </w:rPr>
        <w:t>https://pubmed.ncbi.nlm.nih.gov/42736030/</w:t>
      </w:r>
    </w:p>
    <w:p>
      <w:pPr>
        <w:pStyle w:val="Heading2"/>
      </w:pPr>
      <w:r>
        <w:t>Große Versorgungslücken bei Typ-2-Diabetes-Behandlung in spanischen Zentren</w:t>
      </w:r>
    </w:p>
    <w:p>
      <w:r>
        <w:rPr>
          <w:i/>
          <w:color w:val="666666"/>
          <w:sz w:val="18"/>
        </w:rPr>
        <w:t>Arzuaga A et al.  ·  Prim Care Diabetes  ·  10.08.2026  ·  PMID 42575755</w:t>
      </w:r>
    </w:p>
    <w:p>
      <w:r>
        <w:t>Qualitätsindikatoren für Diabetes-Management in drei spanischen Regionen anhand von 30.111 Patienten mit elektronischen Patientenakten evaluiert.</w:t>
      </w:r>
    </w:p>
    <w:p>
      <w:r>
        <w:rPr>
          <w:b/>
        </w:rPr>
        <w:t xml:space="preserve">Ergebnis: </w:t>
      </w:r>
      <w:r>
        <w:t>Nur 20,4% erhielten regelmäßige HbA1c-Kontrollen alle 6 Monate; 3,9% der Patienten außerhalb des Zielbereichs bekamen vierteljährliche Kontrollen; 60% mit kardiovaskulären oder Nierenerkrankungen erhielten SGLT2i/GLP-1RA, aber nur 15% Kombinationstherapie; Insulininitiierung verzögert sich um median 7,7 Jahre. Benchmarking haltet Mängel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ähnlichen Versicherungsstrukturen, repräsentativ für fragmentierte Versorgung südeuropäischer und deutscher Regionen</w:t>
      </w:r>
    </w:p>
    <w:p>
      <w:r>
        <w:rPr>
          <w:color w:val="5A7D3A"/>
          <w:sz w:val="18"/>
        </w:rPr>
        <w:t>https://pubmed.ncbi.nlm.nih.gov/42575755/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