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Diabetes</w:t>
      </w:r>
    </w:p>
    <w:p>
      <w:r>
        <w:rPr>
          <w:i/>
          <w:color w:val="666666"/>
          <w:sz w:val="18"/>
        </w:rPr>
        <w:t>Stand: 18.10.2026  |  5 Studien  |  diabetes.m-vf.de</w:t>
      </w:r>
    </w:p>
    <w:p>
      <w:pPr>
        <w:pStyle w:val="Heading1"/>
      </w:pPr>
      <w:r>
        <w:t>Aufgenommen am 18.10.2026</w:t>
      </w:r>
    </w:p>
    <w:p>
      <w:pPr>
        <w:pStyle w:val="Heading2"/>
      </w:pPr>
      <w:r>
        <w:t>Insulingleiche Timing beim Ramadan-Fasten: Frühabend- vs. Schlafenszeit-Gabe</w:t>
      </w:r>
    </w:p>
    <w:p>
      <w:r>
        <w:rPr>
          <w:i/>
          <w:color w:val="666666"/>
          <w:sz w:val="18"/>
        </w:rPr>
        <w:t>Alamoudi R et al.  ·  J Diabetes Sci Technol  ·  17.10.2026  ·  PMID 42891564</w:t>
      </w:r>
    </w:p>
    <w:p>
      <w:r>
        <w:t>Randomisierte Kontrollstudie an 185 Typ-1-Diabetes-Patienten beim Ramadan-Fasten zur Frage, ob früherer Insulinglardin-Zeitpunkt die Hypoglykämien senkt.</w:t>
      </w:r>
    </w:p>
    <w:p>
      <w:r>
        <w:rPr>
          <w:b/>
        </w:rPr>
        <w:t xml:space="preserve">Ergebnis: </w:t>
      </w:r>
      <w:r>
        <w:t>Hypoglykämie trat bei 75,9% vs. 76,3% auf (p=0,94); Zeitpunkt-Wechsel reduzierte Hypoglykämien nicht signifikant. Time in Range 44,6% vs. 46,1% (p=0,70); schwere Hypoglykämien in 2 vs. 5 Fällen. Die Studie zeigt, dass universales Umtiming nicht nötig ist.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Saudi-Arabien, aber Fragestellung und Therapiealgorithmen sind international übertragbar.</w:t>
      </w:r>
    </w:p>
    <w:p>
      <w:r>
        <w:rPr>
          <w:color w:val="5A7D3A"/>
          <w:sz w:val="18"/>
        </w:rPr>
        <w:t>https://pubmed.ncbi.nlm.nih.gov/42891564/</w:t>
      </w:r>
    </w:p>
    <w:p>
      <w:pPr>
        <w:pStyle w:val="Heading2"/>
      </w:pPr>
      <w:r>
        <w:t>Südäsident vs. nordisch: Verschiedene Hormonmuster nach Gestationsdiabetes</w:t>
      </w:r>
    </w:p>
    <w:p>
      <w:r>
        <w:rPr>
          <w:i/>
          <w:color w:val="666666"/>
          <w:sz w:val="18"/>
        </w:rPr>
        <w:t>Sharma A et al.  ·  Diabetologia  ·  16.10.2026  ·  PMID 42886235</w:t>
      </w:r>
    </w:p>
    <w:p>
      <w:r>
        <w:t>Vergleichsstudie mit 178 Südasiatinnen und 107 Skandinavierinnen 1–3 Jahre nach Schwangerschaftsdiabetes: Unterschiede in Glukagon-, GLP-1- und GIP-Antworten.</w:t>
      </w:r>
    </w:p>
    <w:p>
      <w:r>
        <w:rPr>
          <w:b/>
        </w:rPr>
        <w:t xml:space="preserve">Ergebnis: </w:t>
      </w:r>
      <w:r>
        <w:t>Südasiatinnen zeigen schwächere frühe Glukagon-Suppression (p=0,002) und höhere Glukagon-Gesamtexposition (p=0,013) bei Normoglykämie. GIP-Antworten sind bei Prä-/Diabetes bei Südasiatinnen trotz höherer Insulin niedriger (p&lt;0,001). Höhere Insulin korreliert mit niedrigerer Sensitivität, nicht mit Inkretin-Unterschieden.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Norwegen; mechanistische Ethnographie relevant für Risikostratifizierung nach GDM.</w:t>
      </w:r>
    </w:p>
    <w:p>
      <w:r>
        <w:rPr>
          <w:color w:val="5A7D3A"/>
          <w:sz w:val="18"/>
        </w:rPr>
        <w:t>https://pubmed.ncbi.nlm.nih.gov/42886235/</w:t>
      </w:r>
    </w:p>
    <w:p>
      <w:pPr>
        <w:pStyle w:val="Heading2"/>
      </w:pPr>
      <w:r>
        <w:t>Automatische Insulinabgabe bei Kindern: HbA1c-Abfall um 1,8 Prozentpunkte ohne mehr Unterzucker</w:t>
      </w:r>
    </w:p>
    <w:p>
      <w:r>
        <w:rPr>
          <w:i/>
          <w:color w:val="666666"/>
          <w:sz w:val="18"/>
        </w:rPr>
        <w:t>Sullivan-Ingram ER et al.  ·  Diabetes Technol Ther  ·  14.10.2026  ·  PMID 42876070</w:t>
      </w:r>
    </w:p>
    <w:p>
      <w:r>
        <w:t>Retrospektive Kohortenstudie mit 71 Kindern/Jugendlichen (6–21 Jahre) mit Typ-1-Diabetes zu klinischen Ergebnissen der iLet-Pumpe über 12 Monate.</w:t>
      </w:r>
    </w:p>
    <w:p>
      <w:r>
        <w:rPr>
          <w:b/>
        </w:rPr>
        <w:t xml:space="preserve">Ergebnis: </w:t>
      </w:r>
      <w:r>
        <w:t>Baseline HbA1c 9,4% (79 mmol/mol); nach 3 Monaten Abfall um 1,8±1,7 Prozentpunkte (p&lt;0,0001), Time in Range von 30,1% auf 52,5 Prozentpunkte (p&lt;0,0001) ohne Hypoglykämie-Anstieg. Nach 12 Monaten HbA1c 7,6%, Time in Range 55,8%. Besser bei Baseline HbA1c≥9,5%.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USA-Realwelt-Daten; algorithmisches Dosieren ist technisch unterschiedlich, Zielkontrolle vergleichbar.</w:t>
      </w:r>
    </w:p>
    <w:p>
      <w:r>
        <w:rPr>
          <w:color w:val="5A7D3A"/>
          <w:sz w:val="18"/>
        </w:rPr>
        <w:t>https://pubmed.ncbi.nlm.nih.gov/42876070/</w:t>
      </w:r>
    </w:p>
    <w:p>
      <w:pPr>
        <w:pStyle w:val="Heading2"/>
      </w:pPr>
      <w:r>
        <w:t>Glukose-Messung bei Nicht-Insulin-Typ-2: HbA1c senkt sich um 0,34%, Time in Range +7,85 Punkte</w:t>
      </w:r>
    </w:p>
    <w:p>
      <w:r>
        <w:rPr>
          <w:i/>
          <w:color w:val="666666"/>
          <w:sz w:val="18"/>
        </w:rPr>
        <w:t>Al Hayek A et al.  ·  J Diabetes Sci Technol  ·  14.10.2026  ·  PMID 42872823</w:t>
      </w:r>
    </w:p>
    <w:p>
      <w:r>
        <w:t>Systematische Übersicht und Metaanalyse von 25 RCTs zu CGM bei Typ 2 ohne intensives Insulin oder Nicht-Insulin-Therapien bezüglich HbA1c, Zeit im Bereich, Körpergewicht, Patientenberichte.</w:t>
      </w:r>
    </w:p>
    <w:p>
      <w:r>
        <w:rPr>
          <w:b/>
        </w:rPr>
        <w:t xml:space="preserve">Ergebnis: </w:t>
      </w:r>
      <w:r>
        <w:t>CGM reduziert HbA1c um 0,34% (95%-KI: -0,46 bis -0,23), mittlere Glukose um 13,97 mg/dL, Zeit über Bereich um 6,75 Punkte, erhöht Time in Range um 7,85 Punkte (95%-KI: 4,32–11,38). Keine signifikanten Effekte auf BMI oder Hypoglykämie-Zeit. Vorteile stärker bei Nicht-Insulin-Therapie. Evidenzqualität: moderat.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Internationale Studien; CGM bei nicht-intensiv behandeltem Typ 2 hat gutes Evidenz-Niveau, Transfer auf Praxen prüft Kostenerstattung.</w:t>
      </w:r>
    </w:p>
    <w:p>
      <w:r>
        <w:rPr>
          <w:color w:val="5A7D3A"/>
          <w:sz w:val="18"/>
        </w:rPr>
        <w:t>https://pubmed.ncbi.nlm.nih.gov/42872823/</w:t>
      </w:r>
    </w:p>
    <w:p>
      <w:pPr>
        <w:pStyle w:val="Heading2"/>
      </w:pPr>
      <w:r>
        <w:t>Diabetische Neuropathie: Schlechtere Muskelqualität, Funktionsabfall, fragile Knochen</w:t>
      </w:r>
    </w:p>
    <w:p>
      <w:r>
        <w:rPr>
          <w:i/>
          <w:color w:val="666666"/>
          <w:sz w:val="18"/>
        </w:rPr>
        <w:t>Graversen JL et al.  ·  Diabetes Res Clin Pract  ·  12.10.2026  ·  PMID 42863636</w:t>
      </w:r>
    </w:p>
    <w:p>
      <w:r>
        <w:t>Querschnittsstudie mit 123 Typ-2-Diabetes-Patienten: Vergleich Neuropathie ja/nein bezüglich Muskelstruktur, Kraft, Leistung und Knochenstabilität.</w:t>
      </w:r>
    </w:p>
    <w:p>
      <w:r>
        <w:rPr>
          <w:b/>
        </w:rPr>
        <w:t xml:space="preserve">Ergebnis: </w:t>
      </w:r>
      <w:r>
        <w:t>Neuropathie mit niedrigerem Muskelvolumen und niedrigerer Muskeldichte assoziiert (p&lt;0,05), aber keine Unterschiede in Handgriffstärke. Jedoch schlechtere Leistung: weniger Chair-Stand-Wiederholungen, längere Timed-Up-and-Go, langsamerer Gang. Höhere Muskeldichte korreliert mit besserem Femoral-Neck-BMD und stärkeren Knochen.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Dänemark; mechanistisches Phänotypisierungs-Modell für Komplikationen bei Typ 2.</w:t>
      </w:r>
    </w:p>
    <w:p>
      <w:r>
        <w:rPr>
          <w:color w:val="5A7D3A"/>
          <w:sz w:val="18"/>
        </w:rPr>
        <w:t>https://pubmed.ncbi.nlm.nih.gov/42863636/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Diabetes</dc:title>
  <dc:subject/>
  <dc:creator>Monitor Versorgungsforschung</dc:creator>
  <cp:keywords/>
  <dc:description>generated by python-docx</dc:description>
  <cp:lastModifiedBy/>
  <cp:revision>1</cp:revision>
  <dcterms:created xsi:type="dcterms:W3CDTF">2026-10-18T06:00:00Z</dcterms:created>
  <dcterms:modified xsi:type="dcterms:W3CDTF">2026-10-18T06:00:00Z</dcterms:modified>
  <cp:category/>
</cp:coreProperties>
</file>