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Diabetes</w:t>
      </w:r>
    </w:p>
    <w:p>
      <w:r>
        <w:rPr>
          <w:i/>
          <w:color w:val="666666"/>
          <w:sz w:val="18"/>
        </w:rPr>
        <w:t>Stand: 10.10.2026  |  5 Studien  |  diabetes.m-vf.de</w:t>
      </w:r>
    </w:p>
    <w:p>
      <w:pPr>
        <w:pStyle w:val="Heading1"/>
      </w:pPr>
      <w:r>
        <w:t>Aufgenommen am 10.10.2026</w:t>
      </w:r>
    </w:p>
    <w:p>
      <w:pPr>
        <w:pStyle w:val="Heading2"/>
      </w:pPr>
      <w:r>
        <w:t>Polygenic Risk Scores identifizieren Früh-Stadium-Typ-1-Diabetes präziser</w:t>
      </w:r>
    </w:p>
    <w:p>
      <w:r>
        <w:rPr>
          <w:i/>
          <w:color w:val="666666"/>
          <w:sz w:val="18"/>
        </w:rPr>
        <w:t>Zapardiel-Gonzalo J et al.  ·  Diabetes Obes Metab  ·  09.10.2026  ·  PMID 42852477</w:t>
      </w:r>
    </w:p>
    <w:p>
      <w:r>
        <w:t>Deutsche Studie an 16335 Personen zur Validierung geschlechtsspezifischer polygener Risiko-Scores für Früh-Stadium-Typ-1-Diabetes (autoantikörper-positiv, aber normoglykämisch).</w:t>
      </w:r>
    </w:p>
    <w:p>
      <w:r>
        <w:rPr>
          <w:b/>
        </w:rPr>
        <w:t xml:space="preserve">Ergebnis: </w:t>
      </w:r>
      <w:r>
        <w:t>PRS vergleichbar zwischen Früh-Stadium und Stadium-3-T1D (p=0,81 bzw. 0,1). Bei 99,2. Perzentil: geschlechtsspezifische PRS zeigten Früh-Stadium-T1D-Risiko von 12,6 % (Jungen) und 9,3 % (Mädchen), mit ~90 % AUC-Diskrimination. Geschlechtsspezifische Anpassung reduzierte, aber eliminierte nicht, Geschlechtsdifferenzen.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Deutschland, Peking-Universität; Präventionsforschung, Grundlagen mit translationalem Weg.</w:t>
      </w:r>
    </w:p>
    <w:p>
      <w:r>
        <w:rPr>
          <w:color w:val="5A7D3A"/>
          <w:sz w:val="18"/>
        </w:rPr>
        <w:t>https://pubmed.ncbi.nlm.nih.gov/42852477/</w:t>
      </w:r>
    </w:p>
    <w:p>
      <w:pPr>
        <w:pStyle w:val="Heading2"/>
      </w:pPr>
      <w:r>
        <w:t>Diabetes beschleunigt koronare Atherosklerose stärker als Prädiabetes</w:t>
      </w:r>
    </w:p>
    <w:p>
      <w:r>
        <w:rPr>
          <w:i/>
          <w:color w:val="666666"/>
          <w:sz w:val="18"/>
        </w:rPr>
        <w:t>Won KB et al.  ·  Cardiovasc Diabetol  ·  05.09.2026  ·  PMID 42850638</w:t>
      </w:r>
    </w:p>
    <w:p>
      <w:r>
        <w:t>Multizentrische Registerstudie mit CT-Angiographie an 1296 Patienten über median 3,2 Jahre zur Progression der koronaren Plaque in Relation zum glykämischen Status.</w:t>
      </w:r>
    </w:p>
    <w:p>
      <w:r>
        <w:rPr>
          <w:b/>
        </w:rPr>
        <w:t xml:space="preserve">Ergebnis: </w:t>
      </w:r>
      <w:r>
        <w:t>Patienten mit Diabetes zeigten signifikant schnellere Plaqueprogression: jährliche PAV-Zunahme 0,65 %/Jahr versus 0,30 % (normal) und 0,35 % (Prädiabetes; p&lt;0,001). Schnelle Progression trat bei 38,5 % der Diabetiker, aber nur 25,6 % der Normalgewichtigen auf (p&lt;0,001). Diabetes war unabhängig assoziiert mit erhöhter Odds Ratio für schnelle Progression; Prädiabetes nicht.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Multinationaler Datensatz, Deutschland mit Zentren beteiligt; kardialer Endpunkt.</w:t>
      </w:r>
    </w:p>
    <w:p>
      <w:r>
        <w:rPr>
          <w:color w:val="5A7D3A"/>
          <w:sz w:val="18"/>
        </w:rPr>
        <w:t>https://pubmed.ncbi.nlm.nih.gov/42850638/</w:t>
      </w:r>
    </w:p>
    <w:p>
      <w:pPr>
        <w:pStyle w:val="Heading2"/>
      </w:pPr>
      <w:r>
        <w:t>Schulische Betreuung bei Typ-1-Diabetes korreliert mit Glykämiekontrolle</w:t>
      </w:r>
    </w:p>
    <w:p>
      <w:r>
        <w:rPr>
          <w:i/>
          <w:color w:val="666666"/>
          <w:sz w:val="18"/>
        </w:rPr>
        <w:t>Matsui K et al.  ·  Diabetes Care  ·  07.10.2026  ·  PMID 42844149</w:t>
      </w:r>
    </w:p>
    <w:p>
      <w:r>
        <w:t>Japanische Multizenterstudie mit 1105 Kindern zur Assoziation zwischen Ort der Diabetesbetreuung in der Schule und HbA1c-Kontrolle.</w:t>
      </w:r>
    </w:p>
    <w:p>
      <w:r>
        <w:rPr>
          <w:b/>
        </w:rPr>
        <w:t xml:space="preserve">Ergebnis: </w:t>
      </w:r>
      <w:r>
        <w:t>Mittleres HbA1c 8,01 % (64 mmol/mol). HbA1c war signifikant höher in Toiletten-Nutzung 8,56 % (70,1 mmol/mol) versus Klassenzimmer 8,00 % (63,9 mmol/mol) und Beratungsräume 7,95 % (63,4 mmol/mol; p&lt;0,001). Toiletten-Nutzung und Auslassen von Blutzuckermessungen waren unabhängig mit höherem HbA1c assoziiert.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Japan, aber Schulübergänge und Stigmatisierung universal; Versorgungsorganisation.</w:t>
      </w:r>
    </w:p>
    <w:p>
      <w:r>
        <w:rPr>
          <w:color w:val="5A7D3A"/>
          <w:sz w:val="18"/>
        </w:rPr>
        <w:t>https://pubmed.ncbi.nlm.nih.gov/42844149/</w:t>
      </w:r>
    </w:p>
    <w:p>
      <w:pPr>
        <w:pStyle w:val="Heading2"/>
      </w:pPr>
      <w:r>
        <w:t>GLP-1/GIP-Rezeptoragonisten senken Nierenversagen-Risiko vs. Finerenon</w:t>
      </w:r>
    </w:p>
    <w:p>
      <w:r>
        <w:rPr>
          <w:i/>
          <w:color w:val="666666"/>
          <w:sz w:val="18"/>
        </w:rPr>
        <w:t>Sehtman-Shachar DR et al.  ·  Diabetes Obes Metab  ·  07.10.2026  ·  PMID 42842950</w:t>
      </w:r>
    </w:p>
    <w:p>
      <w:r>
        <w:t>Real-World-Kohortenstudie an 4554 Patienten mit Typ-2-Diabetes und CKD Stadium 3–4 über ≤2,5 Jahre zum Vergleich GLP-1/GIP-Agonisten versus Finerenon auf composite Nierenendpunkte.</w:t>
      </w:r>
    </w:p>
    <w:p>
      <w:r>
        <w:rPr>
          <w:b/>
        </w:rPr>
        <w:t xml:space="preserve">Ergebnis: </w:t>
      </w:r>
      <w:r>
        <w:t>Composite Endpunkt (ESKD/Stage 5/Dialyse): 4,8 % unter GLP-1/GIP-RA versus 6,0 % unter Finerenon (Hazard Ratio 0,71, 95%-CI 0,55–0,91). Absolute Risikodifferenz nach 2,5 Jahren −1,14 %. eGFR-Slope (total): 1,04 mL/min/1.73m²/Jahr Unterschied zugunsten GLP-1/GIP-RA.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Israel, vergleichbares Gesundheitssystem; harter Endpunkt Nierenversagen.</w:t>
      </w:r>
    </w:p>
    <w:p>
      <w:r>
        <w:rPr>
          <w:color w:val="5A7D3A"/>
          <w:sz w:val="18"/>
        </w:rPr>
        <w:t>https://pubmed.ncbi.nlm.nih.gov/42842950/</w:t>
      </w:r>
    </w:p>
    <w:p>
      <w:pPr>
        <w:pStyle w:val="Heading2"/>
      </w:pPr>
      <w:r>
        <w:t>Einsamkeit und soziale Isolation erhöhen Depression bei Diabetes deutlich</w:t>
      </w:r>
    </w:p>
    <w:p>
      <w:r>
        <w:rPr>
          <w:i/>
          <w:color w:val="666666"/>
          <w:sz w:val="18"/>
        </w:rPr>
        <w:t>Tan Y et al.  ·  Endocrine  ·  06.10.2026  ·  PMID 42837085</w:t>
      </w:r>
    </w:p>
    <w:p>
      <w:r>
        <w:t>UK-Biobank-Kohortenstudie mit 7712 Diabetikern zur Assoziation von Einsamkeit, sozialer Isolation und Lebenszufriedenheit mit Inzidenz major depressiver Störung über 11,1 Jahre.</w:t>
      </w:r>
    </w:p>
    <w:p>
      <w:r>
        <w:rPr>
          <w:b/>
        </w:rPr>
        <w:t xml:space="preserve">Ergebnis: </w:t>
      </w:r>
      <w:r>
        <w:t>Während 11,1 Jahre Nachbeobachtung: 442 depressive Episoden (Inzidenz 5,73 %). Hohe Einsamkeit: 176 % Risikosteigerung; hohe soziale Isolation: 82 %; niedrige Lebenszufriedenheit: 493 % (alle p&lt;0,001). Kombiniert (niedrige Zufriedenheit + hohe Einsamkeit): 8,06fach erhöhtes MDD-Risiko versus hohe Zufriedenheit + niedrige Einsamkeit.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UK, aber psychosoziale Risikofaktoren gelten universal; harter Endpunkt Depression.</w:t>
      </w:r>
    </w:p>
    <w:p>
      <w:r>
        <w:rPr>
          <w:color w:val="5A7D3A"/>
          <w:sz w:val="18"/>
        </w:rPr>
        <w:t>https://pubmed.ncbi.nlm.nih.gov/42837085/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Diabetes</dc:title>
  <dc:subject/>
  <dc:creator>Monitor Versorgungsforschung</dc:creator>
  <cp:keywords/>
  <dc:description>generated by python-docx</dc:description>
  <cp:lastModifiedBy/>
  <cp:revision>1</cp:revision>
  <dcterms:created xsi:type="dcterms:W3CDTF">2026-10-10T06:00:00Z</dcterms:created>
  <dcterms:modified xsi:type="dcterms:W3CDTF">2026-10-10T06:00:00Z</dcterms:modified>
  <cp:category/>
</cp:coreProperties>
</file>