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Neueste Studien - Geschlecht und Gesundheit</w:t>
      </w:r>
    </w:p>
    <w:p>
      <w:r>
        <w:rPr>
          <w:i/>
          <w:color w:val="666666"/>
          <w:sz w:val="18"/>
        </w:rPr>
        <w:t>Stand: 26.08.2026  |  2 Studien  |  gender.m-vf.de</w:t>
      </w:r>
    </w:p>
    <w:p>
      <w:pPr>
        <w:pStyle w:val="Heading1"/>
      </w:pPr>
      <w:r>
        <w:t>Aufgenommen am 26.08.2026</w:t>
      </w:r>
    </w:p>
    <w:p>
      <w:pPr>
        <w:pStyle w:val="Heading2"/>
      </w:pPr>
      <w:r>
        <w:t>Gestationsdiabetes und fetale Programmierung: Mädchen stärker betroffen</w:t>
      </w:r>
    </w:p>
    <w:p>
      <w:r>
        <w:rPr>
          <w:i/>
          <w:color w:val="666666"/>
          <w:sz w:val="18"/>
        </w:rPr>
        <w:t>Hatem G et al.  ·  BMC Med  ·  21.08.2026  ·  PMID 42629565</w:t>
      </w:r>
    </w:p>
    <w:p>
      <w:r>
        <w:t>Multi-omics-Kohortenstudie (Tansania, n=GDM-exponierte und Kontroll-Neugeborene) zu genetischen, epigenetischen und transkriptomischen Signaturen bei Neugeborenen von Gestationsdiabetes-Müttern mit Geschlechtsstratifizierung.</w:t>
      </w:r>
    </w:p>
    <w:p>
      <w:r>
        <w:rPr>
          <w:b/>
        </w:rPr>
        <w:t xml:space="preserve">Ergebnis: </w:t>
      </w:r>
      <w:r>
        <w:t>Mädchen zeigten stärker ausgeprägte Unterschiede: höhere anthropometrische Maße, höherer polygenetischer Score für T2D-β-Zell-Dysfunktion, erhöhtes Cord-Insulin. Differenziell exprimierte Gene: 273 bei Mädchen vs. 4 bei Jungen. Gene (SESN3, HMBS, MAN2A2) korrelierten mit Neonatalanthropometrie und Insulin, besonders bei Mädchen. Gene waren fetal-pankreaspezifisch. Biologische Programmierung zeigt geschlechtsspezifische Muster.</w:t>
      </w:r>
    </w:p>
    <w:p>
      <w:r>
        <w:rPr>
          <w:b/>
          <w:sz w:val="19"/>
        </w:rPr>
        <w:t xml:space="preserve">Übertragbarkeit: </w:t>
      </w:r>
      <w:r>
        <w:rPr>
          <w:sz w:val="19"/>
        </w:rPr>
        <w:t>Tansania (LMIC), aber biologisches Fetal-Programming universell, epigenetik grundlagenorientiert.</w:t>
      </w:r>
    </w:p>
    <w:p>
      <w:r>
        <w:rPr>
          <w:color w:val="5A7D3A"/>
          <w:sz w:val="18"/>
        </w:rPr>
        <w:t>https://pubmed.ncbi.nlm.nih.gov/42629565/</w:t>
      </w:r>
    </w:p>
    <w:p>
      <w:pPr>
        <w:pStyle w:val="Heading2"/>
      </w:pPr>
      <w:r>
        <w:t>Müttersterblichkeit im UK: Strukturelle Defizite bei Black, Asian und migrant women</w:t>
      </w:r>
    </w:p>
    <w:p>
      <w:r>
        <w:rPr>
          <w:i/>
          <w:color w:val="666666"/>
          <w:sz w:val="18"/>
        </w:rPr>
        <w:t>Bolarinwa O  ·  Int J Equity Health  ·  27.07.2026  ·  PMID 42509547</w:t>
      </w:r>
    </w:p>
    <w:p>
      <w:r>
        <w:t>Kommentar zu MBRRACE-UK-2025-Daten, der kulturelle Sensibilität in der Geburtshilfe als integralen Teil der Versorgungsgerechtigkeit rahmt – nicht als Zusatz.</w:t>
      </w:r>
    </w:p>
    <w:p>
      <w:r>
        <w:rPr>
          <w:b/>
        </w:rPr>
        <w:t xml:space="preserve">Ergebnis: </w:t>
      </w:r>
      <w:r>
        <w:t>Black, Asian und migrant women in Großbritannien erfahren beharrliche Disparitäten in Müttersterblichkeit, die in strukturellen Mängeln der Versorgung wurzeln, nicht in Differenzen zwischen Gruppen. Der Kommentar fordert Embedding von kultureller Kompetenz in nationale Leitlinien, Servicekonten und verpflichtende Schulung als Bedingung für Equity.</w:t>
      </w:r>
    </w:p>
    <w:p>
      <w:r>
        <w:rPr>
          <w:b/>
          <w:sz w:val="19"/>
        </w:rPr>
        <w:t xml:space="preserve">Übertragbarkeit: </w:t>
      </w:r>
      <w:r>
        <w:rPr>
          <w:sz w:val="19"/>
        </w:rPr>
        <w:t>UK-System, übertragbares Geschäftsmodell (verpflichtend strukturelle Änderungen statt Etikett).</w:t>
      </w:r>
    </w:p>
    <w:p>
      <w:r>
        <w:rPr>
          <w:color w:val="5A7D3A"/>
          <w:sz w:val="18"/>
        </w:rPr>
        <w:t>https://pubmed.ncbi.nlm.nih.gov/42509547/</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Neueste Studien - Geschlecht und Gesundheit</dc:title>
  <dc:subject/>
  <dc:creator>Monitor Versorgungsforschung</dc:creator>
  <cp:keywords/>
  <dc:description>generated by python-docx</dc:description>
  <cp:lastModifiedBy/>
  <cp:revision>1</cp:revision>
  <dcterms:created xsi:type="dcterms:W3CDTF">2026-08-26T06:00:00Z</dcterms:created>
  <dcterms:modified xsi:type="dcterms:W3CDTF">2026-08-26T06:00:00Z</dcterms:modified>
  <cp:category/>
</cp:coreProperties>
</file>