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Geschlecht und Gesundheit</w:t>
      </w:r>
    </w:p>
    <w:p>
      <w:r>
        <w:rPr>
          <w:i/>
          <w:color w:val="666666"/>
          <w:sz w:val="18"/>
        </w:rPr>
        <w:t>Stand: 24.08.2026  |  1 Studien  |  gender.m-vf.de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HPV-Screening bei transmanischen Personen: Selbst gewonnene Urinprobe akzeptabel und praktikabel</w:t>
      </w:r>
    </w:p>
    <w:p>
      <w:r>
        <w:rPr>
          <w:i/>
          <w:color w:val="666666"/>
          <w:sz w:val="18"/>
        </w:rPr>
        <w:t>Vervalcke J et al.  ·  Eur J Obstet Gynecol Reprod Biol  ·  30.07.2026  ·  PMID 42541966</w:t>
      </w:r>
    </w:p>
    <w:p>
      <w:r>
        <w:t>Proof-of-Concept-Studie an 19 transmanischen Personen mit Zervix prüfte Akzeptabilität und Machbarkeit selbst gewonnener HPV-Tests zur Überwindung von Barrieren beim Zervixkrebsscreening.</w:t>
      </w:r>
    </w:p>
    <w:p>
      <w:r>
        <w:rPr>
          <w:b/>
        </w:rPr>
        <w:t xml:space="preserve">Ergebnis: </w:t>
      </w:r>
      <w:r>
        <w:t>94,7 % (18/19) betrachteten Selbstprobennahme als wertvoll, 84,2 % (16/19) bevorzugten Urin- gegenüber vaginaler Probe. HPV-Positivität in 2/17 Urinproben und 3/17 Vaginalproben nachgewiesen (Genotypen 53, 66). Kein unerwünschtes Ereignis berichtet.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europäisches Gesundheitssystem; zeigt Zugangsbarriere bei einer unterversorgten Population und pragmatische Lösung.</w:t>
      </w:r>
    </w:p>
    <w:p>
      <w:r>
        <w:rPr>
          <w:color w:val="5A7D3A"/>
          <w:sz w:val="18"/>
        </w:rPr>
        <w:t>https://pubmed.ncbi.nlm.nih.gov/42541966/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Geschlecht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2026-08-24T06:00:00Z</dcterms:created>
  <dcterms:modified xsi:type="dcterms:W3CDTF">2026-08-24T06:00:00Z</dcterms:modified>
  <cp:category/>
</cp:coreProperties>
</file>