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Geschlecht und Gesundheit</w:t>
      </w:r>
    </w:p>
    <w:p>
      <w:r>
        <w:rPr>
          <w:i/>
          <w:color w:val="666666"/>
          <w:sz w:val="18"/>
        </w:rPr>
        <w:t>Stand: 31.08.2026  |  44 Studien  |  gender.m-vf.de</w:t>
      </w:r>
    </w:p>
    <w:p>
      <w:pPr>
        <w:pStyle w:val="Heading1"/>
      </w:pPr>
      <w:r>
        <w:t>Aufgenommen am 31.08.2026</w:t>
      </w:r>
    </w:p>
    <w:p>
      <w:pPr>
        <w:pStyle w:val="Heading2"/>
      </w:pPr>
      <w:r>
        <w:t>Prekonzeptionelle Vorsorge bei jungen Erwachsenen: Männer sind weniger bewusst und vorbereitet</w:t>
      </w:r>
    </w:p>
    <w:p>
      <w:r>
        <w:rPr>
          <w:i/>
          <w:color w:val="666666"/>
          <w:sz w:val="18"/>
        </w:rPr>
        <w:t>Cho I et al.  ·  Front Public Health  ·  13.08.2026  ·  PMID 42661787</w:t>
      </w:r>
    </w:p>
    <w:p>
      <w:r>
        <w:t>Eine südkoreanische Querschnittsstudie (n=929, Alter 18–25) untersuchte mit dem Precaution Adoption Process Model, in welchem Bewusstseinsstadium junge Erwachsene hinsichtlich prekonzeptioneller Gesundheit stehen und welche Faktoren damit verbunden sind.</w:t>
      </w:r>
    </w:p>
    <w:p>
      <w:r>
        <w:rPr>
          <w:b/>
        </w:rPr>
        <w:t xml:space="preserve">Ergebnis: </w:t>
      </w:r>
      <w:r>
        <w:t>Männer waren überrepräsentiert in der ‚Unbewusst'-Gruppe (sexuelle Unerfahrenheit, inkonsistente Verhütung, keine Geburtsabsicht). Die Gruppe ‚Noch-nicht-adoptierend' war durch sexuelle Unerfahrenheit und niedrigere Gesundheitswahrnehmung charakterisiert. Geschlechtergetroffenheit bei Familienplanung hängt mit Bewusstsein und Verhütungswissen zusammen – strukturierbar durch Gesundheitskommunikation.</w:t>
      </w:r>
    </w:p>
    <w:p>
      <w:r>
        <w:rPr>
          <w:b/>
          <w:sz w:val="19"/>
        </w:rPr>
        <w:t xml:space="preserve">Übertragbarkeit: </w:t>
      </w:r>
      <w:r>
        <w:rPr>
          <w:sz w:val="19"/>
        </w:rPr>
        <w:t>Südkorea; ähnliche Gesundheitsanliegen bei gleichzeitig anderem Sozialkontext</w:t>
      </w:r>
    </w:p>
    <w:p>
      <w:r>
        <w:rPr>
          <w:color w:val="5A7D3A"/>
          <w:sz w:val="18"/>
        </w:rPr>
        <w:t>https://pubmed.ncbi.nlm.nih.gov/42661787/</w:t>
      </w:r>
    </w:p>
    <w:p>
      <w:pPr>
        <w:pStyle w:val="Heading2"/>
      </w:pPr>
      <w:r>
        <w:t>Bergbau in Chile: Frauen berichten depressive Symptome und Diskriminierung deutlich häufiger</w:t>
      </w:r>
    </w:p>
    <w:p>
      <w:r>
        <w:rPr>
          <w:i/>
          <w:color w:val="666666"/>
          <w:sz w:val="18"/>
        </w:rPr>
        <w:t>Bravo-Rojas G et al.  ·  Front Public Health  ·  12.08.2026  ·  PMID 42656741</w:t>
      </w:r>
    </w:p>
    <w:p>
      <w:r>
        <w:t>Eine chilenische Querschnittsstudie (n=712 Bergbauminers) untersuchte geschlechtsgebundene Unterschiede in depressiven Symptomen, psychischer Belastung und wahrgenommener Diskriminierung am Arbeitsplatz.</w:t>
      </w:r>
    </w:p>
    <w:p>
      <w:r>
        <w:rPr>
          <w:b/>
        </w:rPr>
        <w:t xml:space="preserve">Ergebnis: </w:t>
      </w:r>
      <w:r>
        <w:t>Depressive Symptome (PHQ-9 ≥10): Frauen 14,5 % vs. Männer 6,8 % (bereinigtes PR = 1,81; 95%-KI 1,01–3,25). Psychische Belastung (K6 ≥7): 21,2 % vs. 13,8 %. Wahrgenommene Arbeitsplatzdiskriminierung: 18,5 % vs. 12,4 % (PR = 1,67; 95%-KI 1,04–2,68). Geschlechtsspezifische Disparität bestand primär durch Diskriminierung und organisatorische Strukturen, nicht biologische Faktoren.</w:t>
      </w:r>
    </w:p>
    <w:p>
      <w:r>
        <w:rPr>
          <w:b/>
          <w:sz w:val="19"/>
        </w:rPr>
        <w:t xml:space="preserve">Übertragbarkeit: </w:t>
      </w:r>
      <w:r>
        <w:rPr>
          <w:sz w:val="19"/>
        </w:rPr>
        <w:t>Chile, Lagrangekontextmining; zeigt Versorgungsungleichheit durch Zugang und Behandlung</w:t>
      </w:r>
    </w:p>
    <w:p>
      <w:r>
        <w:rPr>
          <w:color w:val="5A7D3A"/>
          <w:sz w:val="18"/>
        </w:rPr>
        <w:t>https://pubmed.ncbi.nlm.nih.gov/42656741/</w:t>
      </w:r>
    </w:p>
    <w:p>
      <w:pPr>
        <w:pStyle w:val="Heading2"/>
      </w:pPr>
      <w:r>
        <w:t>Autismus-Diagnostik bei Kindern: Lehrkräfte erkennen Jungen deutlich häufiger</w:t>
      </w:r>
    </w:p>
    <w:p>
      <w:r>
        <w:rPr>
          <w:i/>
          <w:color w:val="666666"/>
          <w:sz w:val="18"/>
        </w:rPr>
        <w:t>Lacruz-Pérez I et al.  ·  Res Dev Disabil  ·  18.07.2026  ·  PMID 42470811</w:t>
      </w:r>
    </w:p>
    <w:p>
      <w:r>
        <w:t>Vor-Dienst-Lehrkräfte aus sechs Ländern diagnostizierten anhand von Vignetten Autismus bei Jungen (58 %) deutlich häufiger als bei Mädchen (16 %), unabhängig von der beschriebenen Autismus-Symptomatik.</w:t>
      </w:r>
    </w:p>
    <w:p>
      <w:r>
        <w:rPr>
          <w:b/>
        </w:rPr>
        <w:t xml:space="preserve">Ergebnis: </w:t>
      </w:r>
      <w:r>
        <w:t>Jungen wurden mehr als dreifach häufiger als Mädchen als autistisch erkannt (Odds Ratio &gt; 3 für Geschlecht), obwohl das tatsächliche Symptombild keinen Unterschied machte. Der Geschlechterstereotyp (‚Autismus ist männlich'), nicht die biologische Präsentation, bestimmte die Erkennung. Das hat zur Folge, dass autistische Mädchen systematisch unterdiagnostiziert oder später diagnostiziert werden.</w:t>
      </w:r>
    </w:p>
    <w:p>
      <w:r>
        <w:rPr>
          <w:b/>
          <w:sz w:val="19"/>
        </w:rPr>
        <w:t xml:space="preserve">Übertragbarkeit: </w:t>
      </w:r>
      <w:r>
        <w:rPr>
          <w:sz w:val="19"/>
        </w:rPr>
        <w:t>Sechs Länder, Stichprobe von Lehrkräften; übertragbar auf kulturelle Bias in der Diagnostik</w:t>
      </w:r>
    </w:p>
    <w:p>
      <w:r>
        <w:rPr>
          <w:color w:val="5A7D3A"/>
          <w:sz w:val="18"/>
        </w:rPr>
        <w:t>https://pubmed.ncbi.nlm.nih.gov/42470811/</w:t>
      </w:r>
    </w:p>
    <w:p>
      <w:pPr>
        <w:pStyle w:val="Heading2"/>
      </w:pPr>
      <w:r>
        <w:t>Ein Jahr nach Geburt: Intersektionale Unterschiede in Elterngesundheit – Rasse, Geschlecht und Klasse</w:t>
      </w:r>
    </w:p>
    <w:p>
      <w:r>
        <w:rPr>
          <w:i/>
          <w:color w:val="666666"/>
          <w:sz w:val="18"/>
        </w:rPr>
        <w:t>Santos FE et al.  ·  Soc Sci Med  ·  09.07.2026  ·  PMID 42456459</w:t>
      </w:r>
    </w:p>
    <w:p>
      <w:r>
        <w:t>Eine französische Geburtskohorte (n=24.108 Eltern) analysierte mittels intersektionaler Analyse, wie Geschlecht, Ethnizität und Sozialklasse zusammen die psychische und körperliche Gesundheit ein Jahr nach Geburt beeinflussen.</w:t>
      </w:r>
    </w:p>
    <w:p>
      <w:r>
        <w:rPr>
          <w:b/>
        </w:rPr>
        <w:t xml:space="preserve">Ergebnis: </w:t>
      </w:r>
      <w:r>
        <w:t>Die Gesundheitsungleichheiten waren additiv: Nicht-weiße Eltern, Frauen und Angehörige niedrigerer Sozialklassen berichteten schlechtere Gesundheit; psychische Gesundheit zeigte stärkere Unterschiede als körperliche. Der Schutzeffekt des Geschlechts (Vorteil für Männer) wurde durch Sozialklasse moderiert. Rasifizierung und Sexismus wirkten gemeinsam, nicht getrennt.</w:t>
      </w:r>
    </w:p>
    <w:p>
      <w:r>
        <w:rPr>
          <w:b/>
          <w:sz w:val="19"/>
        </w:rPr>
        <w:t xml:space="preserve">Übertragbarkeit: </w:t>
      </w:r>
      <w:r>
        <w:rPr>
          <w:sz w:val="19"/>
        </w:rPr>
        <w:t>Frankreich, ähnliches Sozialversicherungssystem wie Deutschland; Routinedaten aus etablierter Kohorte</w:t>
      </w:r>
    </w:p>
    <w:p>
      <w:r>
        <w:rPr>
          <w:color w:val="5A7D3A"/>
          <w:sz w:val="18"/>
        </w:rPr>
        <w:t>https://pubmed.ncbi.nlm.nih.gov/42456459/</w:t>
      </w:r>
    </w:p>
    <w:p>
      <w:pPr>
        <w:pStyle w:val="Heading2"/>
      </w:pPr>
      <w:r>
        <w:t>Beruf und Familie in der Plastischen Chirurgie: Europäische Ärzte zeigen geschlechtsspezifische Unterschiede</w:t>
      </w:r>
    </w:p>
    <w:p>
      <w:r>
        <w:rPr>
          <w:i/>
          <w:color w:val="666666"/>
          <w:sz w:val="18"/>
        </w:rPr>
        <w:t>Cai A et al.  ·  J Plast Reconstr Aesthet Surg  ·  26.05.2026  ·  PMID 42323222</w:t>
      </w:r>
    </w:p>
    <w:p>
      <w:r>
        <w:t>Eine europäische Befragung von 456 plastischen Chirurginnen und Chirurgen untersuchte, wie sie Karriere und Elternschaft vereinbaren – und wie Geschlecht diese Vereinbarkeit beeinflusst.</w:t>
      </w:r>
    </w:p>
    <w:p>
      <w:r>
        <w:rPr>
          <w:b/>
        </w:rPr>
        <w:t xml:space="preserve">Ergebnis: </w:t>
      </w:r>
      <w:r>
        <w:t>Frauen hielten seltener höhere akademische Positionen (p &lt; 0,001), übernahmen mehr Kinderbetreuung (p &lt; 0,001) und fürchteten häufiger Diskriminierung bei Familienplanung (p &lt; 0,001). Teilzeitarbeit und offene Kommunikation mit Vorgesetzten zur Familienplanung waren die stärksten Prädiktoren, dass Elternschaft mit Karriere vereinbar erschien (p = 0,004 und p &lt; 0,001). Geschlechtsdisparität entstand durch organisatorische Strukturen, nicht biologische Unterschiede.</w:t>
      </w:r>
    </w:p>
    <w:p>
      <w:r>
        <w:rPr>
          <w:b/>
          <w:sz w:val="19"/>
        </w:rPr>
        <w:t xml:space="preserve">Übertragbarkeit: </w:t>
      </w:r>
      <w:r>
        <w:rPr>
          <w:sz w:val="19"/>
        </w:rPr>
        <w:t>18 europäische Länder, deutschsprachiger Raum beteiligt; vergleichbare akademische Systeme in DACH</w:t>
      </w:r>
    </w:p>
    <w:p>
      <w:r>
        <w:rPr>
          <w:color w:val="5A7D3A"/>
          <w:sz w:val="18"/>
        </w:rPr>
        <w:t>https://pubmed.ncbi.nlm.nih.gov/42323222/</w:t>
      </w:r>
    </w:p>
    <w:p>
      <w:pPr>
        <w:pStyle w:val="Heading2"/>
      </w:pPr>
      <w:r>
        <w:t>Herzanatomische Varianten: Frauen haben unterschiedliche linke Vorhofsstrukturen als Männer</w:t>
      </w:r>
    </w:p>
    <w:p>
      <w:r>
        <w:rPr>
          <w:i/>
          <w:color w:val="666666"/>
          <w:sz w:val="18"/>
        </w:rPr>
        <w:t>Loft JJ et al.  ·  J Cardiovasc Comput Tomogr  ·  18.06.2026  ·  PMID 42309870</w:t>
      </w:r>
    </w:p>
    <w:p>
      <w:r>
        <w:t>Eine dänische Populationsstudie (n=4.630) untersuchte geschlechtsspezifische Unterschiede in Anatomievarianten des linken Vorhofs mittels Computertomographie, um Zufallsbefunde besser einzuordnen.</w:t>
      </w:r>
    </w:p>
    <w:p>
      <w:r>
        <w:rPr>
          <w:b/>
        </w:rPr>
        <w:t xml:space="preserve">Ergebnis: </w:t>
      </w:r>
      <w:r>
        <w:t>Frauen zeigten häufiger Vorhof-Septum-Aneurysmen (Geschlechtsdifferenz statistisch signifikant), aber kleinere indexierte Vorhofsvolumina bei gleichzeitig größerer Vorhofsöffnung und weniger Vorhofsohren als Männer. Lipomatöse Septumhypertrophie war mit Alter, BMI und kardiovaskulären Risikofaktoren verbunden, trat aber bei beiden Geschlechtern auf. Die Unterschiede deuten auf biologische (kongenitale) und nicht zugangsbezogene Ursachen hin.</w:t>
      </w:r>
    </w:p>
    <w:p>
      <w:r>
        <w:rPr>
          <w:b/>
          <w:sz w:val="19"/>
        </w:rPr>
        <w:t xml:space="preserve">Übertragbarkeit: </w:t>
      </w:r>
      <w:r>
        <w:rPr>
          <w:sz w:val="19"/>
        </w:rPr>
        <w:t>Dänemark (Skandinavien, vergleichbar); populationsbasierte Routine-CT-Daten</w:t>
      </w:r>
    </w:p>
    <w:p>
      <w:r>
        <w:rPr>
          <w:color w:val="5A7D3A"/>
          <w:sz w:val="18"/>
        </w:rPr>
        <w:t>https://pubmed.ncbi.nlm.nih.gov/42309870/</w:t>
      </w:r>
    </w:p>
    <w:p>
      <w:pPr>
        <w:pStyle w:val="Heading1"/>
      </w:pPr>
      <w:r>
        <w:t>Aufgenommen am 30.08.2026</w:t>
      </w:r>
    </w:p>
    <w:p>
      <w:pPr>
        <w:pStyle w:val="Heading2"/>
      </w:pPr>
      <w:r>
        <w:t>Psychische Versorgung für Trans-Menschen: Mehr Kontakt, schlechtere Ergebnisse</w:t>
      </w:r>
    </w:p>
    <w:p>
      <w:r>
        <w:rPr>
          <w:i/>
          <w:color w:val="666666"/>
          <w:sz w:val="18"/>
        </w:rPr>
        <w:t>Breslow AS et al.  ·  Am Psychol  ·  Sept. 2026  ·  PMID 42658622</w:t>
      </w:r>
    </w:p>
    <w:p>
      <w:r>
        <w:t>Retrospektive Kohortenstudie aus großer New Yorker Klinik (2015-2023) mit 2.898 trans und 29.818 cis Patienten zu psychischen Ergebnissen und Versorgungszugang in vermeintlich trans-freundlicher Umgebung.</w:t>
      </w:r>
    </w:p>
    <w:p>
      <w:r>
        <w:rPr>
          <w:b/>
        </w:rPr>
        <w:t xml:space="preserve">Ergebnis: </w:t>
      </w:r>
      <w:r>
        <w:t>Trans-Patienten hatten doppelt so hohe Rate psychischer Erkrankungen wie cis-Patienten (alle p &lt; 0,001), einschließlich Stimmungsstörungen (10,9 % vs. 2,6 %) und Angststörungen (9,7 % vs. 3,1 %). Trotz höherem Versorgungskontakt (40,92 % vs. 38,45 % Primärversorgung; Disparity 2,48 Prozentpunkte; p &lt; 0,001) blieben Ergebnisse schlecht: mehr Notfall-Besuche (8,6 % vs. 6,4 %), Suizidversuche (2,3 % vs. 1,2 %) und Hospitalisierungen (p &lt; 0,001). Schwarze und hispanische trans-Patienten zeigten additive Disparitäten – demonstriert Versorgungsparadox: mehr Zugang, aber persistente schlechtere Ergebnisse, wahrscheinlich wegen systemischer Barrieren jenseits von Verfügbarkeit.</w:t>
      </w:r>
    </w:p>
    <w:p>
      <w:r>
        <w:rPr>
          <w:b/>
          <w:sz w:val="19"/>
        </w:rPr>
        <w:t xml:space="preserve">Übertragbarkeit: </w:t>
      </w:r>
      <w:r>
        <w:rPr>
          <w:sz w:val="19"/>
        </w:rPr>
        <w:t>USA-System, aber Befund zur Kluft zwischen Zugang und Outcome relevant für alle Systeme.</w:t>
      </w:r>
    </w:p>
    <w:p>
      <w:r>
        <w:rPr>
          <w:color w:val="5A7D3A"/>
          <w:sz w:val="18"/>
        </w:rPr>
        <w:t>https://pubmed.ncbi.nlm.nih.gov/42658622/</w:t>
      </w:r>
    </w:p>
    <w:p>
      <w:pPr>
        <w:pStyle w:val="Heading2"/>
      </w:pPr>
      <w:r>
        <w:t>Eiweißmangel erhöht Sturzfrakturen bei älteren Frauen um 73%</w:t>
      </w:r>
    </w:p>
    <w:p>
      <w:r>
        <w:rPr>
          <w:i/>
          <w:color w:val="666666"/>
          <w:sz w:val="18"/>
        </w:rPr>
        <w:t>Ziller SG et al.  ·  PLoS One  ·  22.07.2026  ·  PMID 42485356</w:t>
      </w:r>
    </w:p>
    <w:p>
      <w:r>
        <w:t>Sekundäranalyse aus der Women's Health Initiative (n = 6.580, davon 1.285 Stürzer) zu Zusammenhang zwischen Proteinzufuhr und Verletzungsfolgen bei Stürzen im Alter.</w:t>
      </w:r>
    </w:p>
    <w:p>
      <w:r>
        <w:rPr>
          <w:b/>
        </w:rPr>
        <w:t xml:space="preserve">Ergebnis: </w:t>
      </w:r>
      <w:r>
        <w:t>Von 1.285 Sturzpatienten erlitten 444 (34,6 %) Verletzungen und 70 (7,7 %) Frakturen. Niedrige Proteindichte (&lt; 15 % der Kalorien aus Protein) erhöhte Frakturrisiko (OR: 1,73; 95 % KI: 1,02-2,92) gegenüber höherer Proteindichte (≥ 15 %). Bei Frauen mit Diabetesmedikation und niedriger Proteindichte war OR für jede Verletzung 5,54 (95 % KI: 1,79-17,19) – zeigt biologisch-nutritive Komponente eines bekannten Unterschieds mit therapeutischer Konsequenz.</w:t>
      </w:r>
    </w:p>
    <w:p>
      <w:r>
        <w:rPr>
          <w:b/>
          <w:sz w:val="19"/>
        </w:rPr>
        <w:t xml:space="preserve">Übertragbarkeit: </w:t>
      </w:r>
      <w:r>
        <w:rPr>
          <w:sz w:val="19"/>
        </w:rPr>
        <w:t>USA-Studie, aber Ernährungsintervention unabhängig von Versorgungssystem übertragbar.</w:t>
      </w:r>
    </w:p>
    <w:p>
      <w:r>
        <w:rPr>
          <w:color w:val="5A7D3A"/>
          <w:sz w:val="18"/>
        </w:rPr>
        <w:t>https://pubmed.ncbi.nlm.nih.gov/42485356/</w:t>
      </w:r>
    </w:p>
    <w:p>
      <w:pPr>
        <w:pStyle w:val="Heading2"/>
      </w:pPr>
      <w:r>
        <w:t>Geschlechtergerechtigkeit in gynäkologischer Onkologie: Parität bei Mitgliedschaft, nicht in Führung</w:t>
      </w:r>
    </w:p>
    <w:p>
      <w:r>
        <w:rPr>
          <w:i/>
          <w:color w:val="666666"/>
          <w:sz w:val="18"/>
        </w:rPr>
        <w:t>Zwimpfer TA et al.  ·  Int J Gynecol Cancer  ·  13.06.2026  ·  PMID 42430843</w:t>
      </w:r>
    </w:p>
    <w:p>
      <w:r>
        <w:t>Longitudinalanalyse der Europäischen Gesellschaft für Gynäkologische Onkologie 2013-2024 zu geschlechtsbezogenen und regionalen Unterschieden in Mitgliedschaft und Governance-Vertretung.</w:t>
      </w:r>
    </w:p>
    <w:p>
      <w:r>
        <w:rPr>
          <w:b/>
        </w:rPr>
        <w:t xml:space="preserve">Ergebnis: </w:t>
      </w:r>
      <w:r>
        <w:t>Frauenanteil in Mitgliedschaft stieg von 2013 auf 2024 und erreichte 2024 Parität (OR für Frauenmitgliedschaft: 1,04 pro Jahr; 95 % KI 1,03-1,05; p &lt; 0,001), während Geschlecht nicht mit Ratsmitgliedschaft assoziiert war (OR 0,95; 95 % KI 0,63-1,42; p = 0,79). Regionale Unterschiede waren signifikant: Frauen in Nordeuropa hatten höhere Chancen (OR 1,69; 95 % KI 1,55-1,84) als in Osteuropa (OR 0,78; 95 % KI 0,71-0,85) – zeigt, dass strukturelle und geografische Faktoren Governance-Repräsentation stärker beeinflussen als Geschlecht.</w:t>
      </w:r>
    </w:p>
    <w:p>
      <w:r>
        <w:rPr>
          <w:b/>
          <w:sz w:val="19"/>
        </w:rPr>
        <w:t xml:space="preserve">Übertragbarkeit: </w:t>
      </w:r>
      <w:r>
        <w:rPr>
          <w:sz w:val="19"/>
        </w:rPr>
        <w:t>Europäische Fachgesellschaften, DACH eingeschlossen, systemische Faktoren übertragbar.</w:t>
      </w:r>
    </w:p>
    <w:p>
      <w:r>
        <w:rPr>
          <w:color w:val="5A7D3A"/>
          <w:sz w:val="18"/>
        </w:rPr>
        <w:t>https://pubmed.ncbi.nlm.nih.gov/42430843/</w:t>
      </w:r>
    </w:p>
    <w:p>
      <w:pPr>
        <w:pStyle w:val="Heading2"/>
      </w:pPr>
      <w:r>
        <w:t>Körperzusammensetzung nach Lebensstiländerung: Männer bauen mehr Muskel auf</w:t>
      </w:r>
    </w:p>
    <w:p>
      <w:r>
        <w:rPr>
          <w:i/>
          <w:color w:val="666666"/>
          <w:sz w:val="18"/>
        </w:rPr>
        <w:t>Novák A et al.  ·  Med Pr  ·  16.07.2026  ·  PMID 42422889</w:t>
      </w:r>
    </w:p>
    <w:p>
      <w:r>
        <w:t>Quasi-experimentale Pilotstudie mit 40 Angehörigen der ungarischen Verteidigungstruppen (21 Männer, 19 Frauen), Alter 24-55, in 6-Monats-Intervention mit Ernährungsberatung, betreutem Training 3x/Woche und kognitiver Verhaltensgruppe.</w:t>
      </w:r>
    </w:p>
    <w:p>
      <w:r>
        <w:rPr>
          <w:b/>
        </w:rPr>
        <w:t xml:space="preserve">Ergebnis: </w:t>
      </w:r>
      <w:r>
        <w:t>Beide Geschlechter verbesserten sich: Männer reduzierten Körpergewicht um 9,25 ± 11,68 kg (p = 0,001), Frauen um 5,79 ± 5,88 kg (p = 0,005); Körperfettanteil sank bei Männern um 3,77 ± 4,94 % (p = 0,011), bei Frauen um 2,66 ± 3,53 % (p = 0,030). Skelettmuskulatur stieg signifikant bei Männern (1,70 ± 3,58 kg; p = 0,029), aber nicht signifikant bei Frauen (1,13 ± 1,76 kg; p = 0,063), obwohl Ausgangswerte ähnlich waren – zeigt geschlechtsabhängige Anpassungsmuster.</w:t>
      </w:r>
    </w:p>
    <w:p>
      <w:r>
        <w:rPr>
          <w:b/>
          <w:sz w:val="19"/>
        </w:rPr>
        <w:t xml:space="preserve">Übertragbarkeit: </w:t>
      </w:r>
      <w:r>
        <w:rPr>
          <w:sz w:val="19"/>
        </w:rPr>
        <w:t>Ungarn (DACH-ähnlich), vergleichbares Gesundheitssystem, Routine-Daten.</w:t>
      </w:r>
    </w:p>
    <w:p>
      <w:r>
        <w:rPr>
          <w:color w:val="5A7D3A"/>
          <w:sz w:val="18"/>
        </w:rPr>
        <w:t>https://pubmed.ncbi.nlm.nih.gov/42422889/</w:t>
      </w:r>
    </w:p>
    <w:p>
      <w:pPr>
        <w:pStyle w:val="Heading2"/>
      </w:pPr>
      <w:r>
        <w:t>Lungenkrebs: Frauen überleben länger, aber nicht wegen besserer Behandlung</w:t>
      </w:r>
    </w:p>
    <w:p>
      <w:r>
        <w:rPr>
          <w:i/>
          <w:color w:val="666666"/>
          <w:sz w:val="18"/>
        </w:rPr>
        <w:t>Templement-Grangerat D et al.  ·  Lung Cancer  ·  20.06.2026  ·  PMID 42341535</w:t>
      </w:r>
    </w:p>
    <w:p>
      <w:r>
        <w:t>Analyse von 3.095 Frauen und 5.846 Männern mit Lungenkarzinom 2020 aus 81 französischen Zentren, um geschlechtsspezifische Unterschiede in Klinik, Tumor und Prognose zu vergleichen.</w:t>
      </w:r>
    </w:p>
    <w:p>
      <w:r>
        <w:rPr>
          <w:b/>
        </w:rPr>
        <w:t xml:space="preserve">Ergebnis: </w:t>
      </w:r>
      <w:r>
        <w:t>Frauen hatten ein besseres Gesamtüberleben als Männer (4-Jahres-OS: 34,7 % vs. 23,7 %; Median-OS: 21,9 vs. 12,6 Monate; p &lt; 0,0001), aber dieser Vorteil war in adjusted multivariable analysis (HR 0,79; 95 % KI 0,74-0,84; p &lt; 0,0001) verschwunden, wenn man für Behandlungsunterschiede kontrollierte, was nahelegt, dass biologische Unterschiede weniger Gewicht haben als therapeutische Entscheidungen.</w:t>
      </w:r>
    </w:p>
    <w:p>
      <w:r>
        <w:rPr>
          <w:b/>
          <w:sz w:val="19"/>
        </w:rPr>
        <w:t xml:space="preserve">Übertragbarkeit: </w:t>
      </w:r>
      <w:r>
        <w:rPr>
          <w:sz w:val="19"/>
        </w:rPr>
        <w:t>Frankreich, vergleichbare europäische Versorgungssysteme und Dokumentation.</w:t>
      </w:r>
    </w:p>
    <w:p>
      <w:r>
        <w:rPr>
          <w:color w:val="5A7D3A"/>
          <w:sz w:val="18"/>
        </w:rPr>
        <w:t>https://pubmed.ncbi.nlm.nih.gov/42341535/</w:t>
      </w:r>
    </w:p>
    <w:p>
      <w:pPr>
        <w:pStyle w:val="Heading2"/>
      </w:pPr>
      <w:r>
        <w:t>Geschlechterunterschied bei Verzicht auf Intensivtherapie: Frauen früher, Männer später</w:t>
      </w:r>
    </w:p>
    <w:p>
      <w:r>
        <w:rPr>
          <w:i/>
          <w:color w:val="666666"/>
          <w:sz w:val="18"/>
        </w:rPr>
        <w:t>Amacher SA et al.  ·  Crit Care  ·  19.06.2026  ·  PMID 42316265</w:t>
      </w:r>
    </w:p>
    <w:p>
      <w:r>
        <w:t>Nationale Kohortenstudie aus der Schweiz mit 654.660 Intensivaufenthalten 2016-2024 zu zeitlichem Muster von Behandlungsbegrenzungen nach Geschlecht.</w:t>
      </w:r>
    </w:p>
    <w:p>
      <w:r>
        <w:rPr>
          <w:b/>
        </w:rPr>
        <w:t xml:space="preserve">Ergebnis: </w:t>
      </w:r>
      <w:r>
        <w:t>Behandlungsbegrenzungen waren bei Aufnahme häufiger bei Frauen (12,0 % vs. 8,6 %), aber während des Aufenthalts ähnlich (5,5 % vs. 5,5 %). Weibliches Geschlecht war unabhängig mit Begrenzungen bei Aufnahme assoziiert (aOR 1,26; 95 % KI 1,24-1,28), aber nur schwach mit späteren Begrenzungen (aOR 1,10; 95 % KI 1,08-1,13). Frauen hatten häufiger Ceiling-of-Care-Entscheidungen und dokumentierte Patientenwünsche, Männer häufiger Therapiebeendigung und ärztliche Entscheidungen – vermutlich Unterschiede in Triage-Heuristiken und Advance Care Planning.</w:t>
      </w:r>
    </w:p>
    <w:p>
      <w:r>
        <w:rPr>
          <w:b/>
          <w:sz w:val="19"/>
        </w:rPr>
        <w:t xml:space="preserve">Übertragbarkeit: </w:t>
      </w:r>
      <w:r>
        <w:rPr>
          <w:sz w:val="19"/>
        </w:rPr>
        <w:t>Schweiz, hochwertige Klinikdaten, DACH-System vergleichbar.</w:t>
      </w:r>
    </w:p>
    <w:p>
      <w:r>
        <w:rPr>
          <w:color w:val="5A7D3A"/>
          <w:sz w:val="18"/>
        </w:rPr>
        <w:t>https://pubmed.ncbi.nlm.nih.gov/42316265/</w:t>
      </w:r>
    </w:p>
    <w:p>
      <w:pPr>
        <w:pStyle w:val="Heading1"/>
      </w:pPr>
      <w:r>
        <w:t>Aufgenommen am 29.08.2026</w:t>
      </w:r>
    </w:p>
    <w:p>
      <w:pPr>
        <w:pStyle w:val="Heading2"/>
      </w:pPr>
      <w:r>
        <w:t>Blutdruckvariabilität bei Intensivpatienten: Frauen mit höherer Instabilität und Mortalitätsrisiko</w:t>
      </w:r>
    </w:p>
    <w:p>
      <w:r>
        <w:rPr>
          <w:i/>
          <w:color w:val="666666"/>
          <w:sz w:val="18"/>
        </w:rPr>
        <w:t>Ng PY et al.  ·  Open Heart  ·  28.08.2026  ·  PMID 42665291</w:t>
      </w:r>
    </w:p>
    <w:p>
      <w:r>
        <w:t>Hongkonger ICU-Kohorte mit 11.153 Aufnahmen (39,4% Frauen), Analyse von Blutdruckvariabilität und Outcome-Unterschieden zwischen Geschlechtern.</w:t>
      </w:r>
    </w:p>
    <w:p>
      <w:r>
        <w:rPr>
          <w:b/>
        </w:rPr>
        <w:t xml:space="preserve">Ergebnis: </w:t>
      </w:r>
      <w:r>
        <w:t>Frauen zeigten höhere Variabilität in mittlerem arteriellen Druck (8,2% vs. 8,2%, adjustiert p=0,03) und diastolisch (9,3% vs. 9,1%, adjustiert p&lt;0,001). Jedes Prozent MAP-Variabilität war assoziiert mit 12% höheren Odds für ICU-Mortalität; dieser Effekt war geschlechtsspezifisch modifiziert (p=0,024).</w:t>
      </w:r>
    </w:p>
    <w:p>
      <w:r>
        <w:rPr>
          <w:b/>
          <w:sz w:val="19"/>
        </w:rPr>
        <w:t xml:space="preserve">Übertragbarkeit: </w:t>
      </w:r>
      <w:r>
        <w:rPr>
          <w:sz w:val="19"/>
        </w:rPr>
        <w:t>USA-ähnliches System, physiologischer Befund jedoch systemübergreifend relevant</w:t>
      </w:r>
    </w:p>
    <w:p>
      <w:r>
        <w:rPr>
          <w:color w:val="5A7D3A"/>
          <w:sz w:val="18"/>
        </w:rPr>
        <w:t>https://pubmed.ncbi.nlm.nih.gov/42665291/</w:t>
      </w:r>
    </w:p>
    <w:p>
      <w:pPr>
        <w:pStyle w:val="Heading2"/>
      </w:pPr>
      <w:r>
        <w:t>Müttersterblichkeit in Mexiko: Geschlecht und Ethnizität prägen Kontinuum-Lücken</w:t>
      </w:r>
    </w:p>
    <w:p>
      <w:r>
        <w:rPr>
          <w:i/>
          <w:color w:val="666666"/>
          <w:sz w:val="18"/>
        </w:rPr>
        <w:t>Suárez-López L et al.  ·  Cad Saude Publica  ·  21.08.2026  ·  PMID 42659432</w:t>
      </w:r>
    </w:p>
    <w:p>
      <w:r>
        <w:t>Mexikanische Querschnittstudie mit 2.846 kürzlich entbundenen Frauen zur Ungleichheit in Müttergesundheitsversorgung nach Statusgruppen (Konzentrations-Index-Dekomposition).</w:t>
      </w:r>
    </w:p>
    <w:p>
      <w:r>
        <w:rPr>
          <w:b/>
        </w:rPr>
        <w:t xml:space="preserve">Ergebnis: </w:t>
      </w:r>
      <w:r>
        <w:t>Kontinuum-Versorgung erreicht 37,3% (95% CI 34,6–40,1). Soziale Sicherheit (OR 1,37, 95% CI 1,1–1,8), Nicht-Indigene (OR 2,08, 95% CI 1,2–3,6) und präpandemisch (OR 1,84, 95% CI 1,4–2,4) waren begünstigend. Haupttreiber der Ungleichheit: Nicht-Indigene Status (30%), Sozialversicherung (31,1%), Zeit (9,6%). Konzentrations-Index 0,098 (p&lt;0,05), pro-reich.</w:t>
      </w:r>
    </w:p>
    <w:p>
      <w:r>
        <w:rPr>
          <w:b/>
          <w:sz w:val="19"/>
        </w:rPr>
        <w:t xml:space="preserve">Übertragbarkeit: </w:t>
      </w:r>
      <w:r>
        <w:rPr>
          <w:sz w:val="19"/>
        </w:rPr>
        <w:t>Lateinamerika, andere Sozialversicherung; Erklärmuster für Zugangsbarrieren aber übertragbar</w:t>
      </w:r>
    </w:p>
    <w:p>
      <w:r>
        <w:rPr>
          <w:color w:val="5A7D3A"/>
          <w:sz w:val="18"/>
        </w:rPr>
        <w:t>https://pubmed.ncbi.nlm.nih.gov/42659432/</w:t>
      </w:r>
    </w:p>
    <w:p>
      <w:pPr>
        <w:pStyle w:val="Heading2"/>
      </w:pPr>
      <w:r>
        <w:t>LGBTI-Gesundheitskompetenz von Hausärztinnen: RCT eines E-Learning-Programms in der Schweiz</w:t>
      </w:r>
    </w:p>
    <w:p>
      <w:r>
        <w:rPr>
          <w:i/>
          <w:color w:val="666666"/>
          <w:sz w:val="18"/>
        </w:rPr>
        <w:t>Bergonzoli K et al.  ·  BMJ Open  ·  04.08.2026  ·  PMID 42552009</w:t>
      </w:r>
    </w:p>
    <w:p>
      <w:r>
        <w:t>Schweizer RCT mit Hausärztinnen (französischsprachig) zur Wirksamkeit von I-CARE-E-Learning auf Wissen, Haltung und Verhalten gegenüber LGBTI-Patienten, Vergleich mit Motivational-Interviewing-Kontrolle.</w:t>
      </w:r>
    </w:p>
    <w:p>
      <w:r>
        <w:rPr>
          <w:b/>
        </w:rPr>
        <w:t xml:space="preserve">Ergebnis: </w:t>
      </w:r>
      <w:r>
        <w:t>Primäre Outcomes (Wissen und Haltung) werden gemessen sofort nach Intervention und 3 Monate später. Studiendesign: 1:1 Randomisierung, Überlegenheitsprüfung. Sekundär: Fertigkeiten, Selbstbericht und Umgebungsfaktoren. Ergebnisse noch nicht berichtet (Protokoll).</w:t>
      </w:r>
    </w:p>
    <w:p>
      <w:r>
        <w:rPr>
          <w:b/>
          <w:sz w:val="19"/>
        </w:rPr>
        <w:t xml:space="preserve">Übertragbarkeit: </w:t>
      </w:r>
      <w:r>
        <w:rPr>
          <w:sz w:val="19"/>
        </w:rPr>
        <w:t>Schweiz, DACH-vergleichbar, Implementierungs-Forschung für deutschsprachigen Raum relevant</w:t>
      </w:r>
    </w:p>
    <w:p>
      <w:r>
        <w:rPr>
          <w:color w:val="5A7D3A"/>
          <w:sz w:val="18"/>
        </w:rPr>
        <w:t>https://pubmed.ncbi.nlm.nih.gov/42552009/</w:t>
      </w:r>
    </w:p>
    <w:p>
      <w:pPr>
        <w:pStyle w:val="Heading2"/>
      </w:pPr>
      <w:r>
        <w:t>Geschlechtsspezifische Unterschiede bei Herzstillstand: Behandlung oder Vorbedingungen?</w:t>
      </w:r>
    </w:p>
    <w:p>
      <w:r>
        <w:rPr>
          <w:i/>
          <w:color w:val="666666"/>
          <w:sz w:val="18"/>
        </w:rPr>
        <w:t>Osmundsen SL et al.  ·  Resuscitation  ·  26.06.2026  ·  PMID 42361889</w:t>
      </w:r>
    </w:p>
    <w:p>
      <w:r>
        <w:t>Norwegische Registerstudie mit 27.621 Fällen außerklinischer Reanimationen 2015-2024, Untersuchung von Geschlechtsspezifika in Behandlung und Überleben.</w:t>
      </w:r>
    </w:p>
    <w:p>
      <w:r>
        <w:rPr>
          <w:b/>
        </w:rPr>
        <w:t xml:space="preserve">Ergebnis: </w:t>
      </w:r>
      <w:r>
        <w:t>Frauen unterschieden sich in Arrest-Lokalisation und Rhythmus von Männern. Behandlungsunterschiede bei CPR-Dauer und Medikation waren nicht geschlechtsspezifisch motiviert. Frauen zeigten höhere Odds für unmittelbares Überleben (signifikant), aber niedrigeres 30-Tage-Überleben – ungeklärt durch gemessene Variablen (OR nicht quantifiziert, p-Wert nicht angegeben).</w:t>
      </w:r>
    </w:p>
    <w:p>
      <w:r>
        <w:rPr>
          <w:b/>
          <w:sz w:val="19"/>
        </w:rPr>
        <w:t xml:space="preserve">Übertragbarkeit: </w:t>
      </w:r>
      <w:r>
        <w:rPr>
          <w:sz w:val="19"/>
        </w:rPr>
        <w:t>Norwegen, Notfall-Register mit standardisierter Dokumentation, EU-vergleichbar</w:t>
      </w:r>
    </w:p>
    <w:p>
      <w:r>
        <w:rPr>
          <w:color w:val="5A7D3A"/>
          <w:sz w:val="18"/>
        </w:rPr>
        <w:t>https://pubmed.ncbi.nlm.nih.gov/42361889/</w:t>
      </w:r>
    </w:p>
    <w:p>
      <w:pPr>
        <w:pStyle w:val="Heading2"/>
      </w:pPr>
      <w:r>
        <w:t>Rauchen in Lettland: Geschlechtsspezifische Trends und Bildungseffekt 2009–2019</w:t>
      </w:r>
    </w:p>
    <w:p>
      <w:r>
        <w:rPr>
          <w:i/>
          <w:color w:val="666666"/>
          <w:sz w:val="18"/>
        </w:rPr>
        <w:t>Apinis P et al.  ·  Medicina (Kaunas)  ·  22.06.2026  ·  PMID 42356212</w:t>
      </w:r>
    </w:p>
    <w:p>
      <w:r>
        <w:t>Populationsbasierte Querschnittstudie mit 3.807 (2009) und 4.070 (2019) Erwachsenen, Analyse geschlechtergetrennter Rauchtrendtrends und Prädiktoren.</w:t>
      </w:r>
    </w:p>
    <w:p>
      <w:r>
        <w:rPr>
          <w:b/>
        </w:rPr>
        <w:t xml:space="preserve">Ergebnis: </w:t>
      </w:r>
      <w:r>
        <w:t>Rauchen sank bei Männern (43,6% → 36,0%, p&lt;0,01), stieg bei Frauen (15,0% → 18,1%, p&lt;0,01). Höhere Bildung schützend für beide: Männer OR 0,48 (95% CI 0,38–0,59), Frauen OR 0,39 (95% CI 0,29–0,50). Körperliche Aktivität nicht unabhängig prädiktiv.</w:t>
      </w:r>
    </w:p>
    <w:p>
      <w:r>
        <w:rPr>
          <w:b/>
          <w:sz w:val="19"/>
        </w:rPr>
        <w:t xml:space="preserve">Übertragbarkeit: </w:t>
      </w:r>
      <w:r>
        <w:rPr>
          <w:sz w:val="19"/>
        </w:rPr>
        <w:t>Baltischer EU-Staat, ähnliche Datenstruktur, europäische Gesundheitssysteme vergleichbar</w:t>
      </w:r>
    </w:p>
    <w:p>
      <w:r>
        <w:rPr>
          <w:color w:val="5A7D3A"/>
          <w:sz w:val="18"/>
        </w:rPr>
        <w:t>https://pubmed.ncbi.nlm.nih.gov/42356212/</w:t>
      </w:r>
    </w:p>
    <w:p>
      <w:pPr>
        <w:pStyle w:val="Heading2"/>
      </w:pPr>
      <w:r>
        <w:t>Elektrokonvulsivtherapie bei Depression: Geschlechtsspezifische Ansprechbarkeit und Prädiktoren</w:t>
      </w:r>
    </w:p>
    <w:p>
      <w:r>
        <w:rPr>
          <w:i/>
          <w:color w:val="666666"/>
          <w:sz w:val="18"/>
        </w:rPr>
        <w:t>Blanken MAJT et al.  ·  J Affect Disord  ·  15.11.2026  ·  PMID 42341945</w:t>
      </w:r>
    </w:p>
    <w:p>
      <w:r>
        <w:t>Niederländisches Konsortium (Dutch ECT Consortium) mit 1.892 Patienten (1.210 Frauen), Analyse geschlechtsspezifischer Prädiktoren für Remission nach EKT.</w:t>
      </w:r>
    </w:p>
    <w:p>
      <w:r>
        <w:rPr>
          <w:b/>
        </w:rPr>
        <w:t xml:space="preserve">Ergebnis: </w:t>
      </w:r>
      <w:r>
        <w:t>Remissionsrate insgesamt gleich zwischen Geschlechtern (p=0,17). Signifikante Interaktion: Bei Männern nahm Remission mit längerer Episodendauer ab, bei Frauen blieb sie stabil. Frauen mit vorheriger Psychotherapie zeigten niedrigere Remissionsraten als Männer (Größenordnung: moderat, p&lt;0,05 für Interaktionen).</w:t>
      </w:r>
    </w:p>
    <w:p>
      <w:r>
        <w:rPr>
          <w:b/>
          <w:sz w:val="19"/>
        </w:rPr>
        <w:t xml:space="preserve">Übertragbarkeit: </w:t>
      </w:r>
      <w:r>
        <w:rPr>
          <w:sz w:val="19"/>
        </w:rPr>
        <w:t>Niederlande, Spezialisierte Versorgung, deutsches System ähnlich strukturiert</w:t>
      </w:r>
    </w:p>
    <w:p>
      <w:r>
        <w:rPr>
          <w:color w:val="5A7D3A"/>
          <w:sz w:val="18"/>
        </w:rPr>
        <w:t>https://pubmed.ncbi.nlm.nih.gov/42341945/</w:t>
      </w:r>
    </w:p>
    <w:p>
      <w:pPr>
        <w:pStyle w:val="Heading1"/>
      </w:pPr>
      <w:r>
        <w:t>Aufgenommen am 28.08.2026</w:t>
      </w:r>
    </w:p>
    <w:p>
      <w:pPr>
        <w:pStyle w:val="Heading2"/>
      </w:pPr>
      <w:r>
        <w:t>Vietnamesisches Fachpersonal in deutscher Psychiatrie: Psychische Belastung und Geschlechterunterschiede</w:t>
      </w:r>
    </w:p>
    <w:p>
      <w:r>
        <w:rPr>
          <w:i/>
          <w:color w:val="666666"/>
          <w:sz w:val="18"/>
        </w:rPr>
        <w:t>Eilinghoff L et al.  ·  Sci Rep  ·  28.07.2026  ·  PMID 42521695</w:t>
      </w:r>
    </w:p>
    <w:p>
      <w:r>
        <w:t>Querschnittstudie zur beruflichen Lebensqualität (ProQOL) vietnamesischer und deutscher Fachkräfte in der psychischen Gesundheit in Berlin.</w:t>
      </w:r>
    </w:p>
    <w:p>
      <w:r>
        <w:rPr>
          <w:b/>
        </w:rPr>
        <w:t xml:space="preserve">Ergebnis: </w:t>
      </w:r>
      <w:r>
        <w:t>Vietnamesische Mitarbeiter zeigten signifikant niedrigere Compassion Satisfaction (p&lt;0,05) und höhere Secondary Traumatic Stress (p&lt;0,05) als deutsche Kollegen. Frauen berichteten höhere Compassion Satisfaction als Männer (p&lt;0,05); keine Geschlechtsunterschiede in Burnout oder STS. Migration ist mit relevanten ProQOL-Unterschieden assoziiert.</w:t>
      </w:r>
    </w:p>
    <w:p>
      <w:r>
        <w:rPr>
          <w:b/>
          <w:sz w:val="19"/>
        </w:rPr>
        <w:t xml:space="preserve">Übertragbarkeit: </w:t>
      </w:r>
      <w:r>
        <w:rPr>
          <w:sz w:val="19"/>
        </w:rPr>
        <w:t>Deutschland, Charité Berlin, deutsches Gesundheitswesen mit Migrationsfachkräften</w:t>
      </w:r>
    </w:p>
    <w:p>
      <w:r>
        <w:rPr>
          <w:color w:val="5A7D3A"/>
          <w:sz w:val="18"/>
        </w:rPr>
        <w:t>https://pubmed.ncbi.nlm.nih.gov/42521695/</w:t>
      </w:r>
    </w:p>
    <w:p>
      <w:pPr>
        <w:pStyle w:val="Heading2"/>
      </w:pPr>
      <w:r>
        <w:t>Bestell für trans Menschen in Griechenland: Roadmap zur Versorgungsintegration</w:t>
      </w:r>
    </w:p>
    <w:p>
      <w:r>
        <w:rPr>
          <w:i/>
          <w:color w:val="666666"/>
          <w:sz w:val="18"/>
        </w:rPr>
        <w:t>Anastasaki M et al.  ·  Front Public Health  ·  13.07.2026  ·  PMID 42517110</w:t>
      </w:r>
    </w:p>
    <w:p>
      <w:r>
        <w:t>Synthese aus dem TRANSCARE-Projekt: Welche Änderungen in Leitlinien, Fortbildung und Finanzierung notwendig sind, um geschlechtsangleichende Versorgung in europäische Gesundheitssysteme zu integrieren.</w:t>
      </w:r>
    </w:p>
    <w:p>
      <w:r>
        <w:rPr>
          <w:b/>
        </w:rPr>
        <w:t xml:space="preserve">Ergebnis: </w:t>
      </w:r>
      <w:r>
        <w:t>Roadmap benannt sechs Faktoren: Gesundheitspolitik, Gesetzgebung und Finanzierung, Verfügbarkeit von Hormonpräparaten, ärztliche Fortbildung, Implementierung von trans-spezifischen Diensten in primärer und sekundärer Versorgung sowie Verknüpfung von medizinischer und sozialer Hilfe. Pilotierung notwendig.</w:t>
      </w:r>
    </w:p>
    <w:p>
      <w:r>
        <w:rPr>
          <w:b/>
          <w:sz w:val="19"/>
        </w:rPr>
        <w:t xml:space="preserve">Übertragbarkeit: </w:t>
      </w:r>
      <w:r>
        <w:rPr>
          <w:sz w:val="19"/>
        </w:rPr>
        <w:t>Griechenland, europäischer Kontext, Modell für Adaptation in anderen Ländern</w:t>
      </w:r>
    </w:p>
    <w:p>
      <w:r>
        <w:rPr>
          <w:color w:val="5A7D3A"/>
          <w:sz w:val="18"/>
        </w:rPr>
        <w:t>https://pubmed.ncbi.nlm.nih.gov/42517110/</w:t>
      </w:r>
    </w:p>
    <w:p>
      <w:pPr>
        <w:pStyle w:val="Heading2"/>
      </w:pPr>
      <w:r>
        <w:t>Saunabaden und Geschlecht: Frauen erholen sich, Männer sind sozial – Schweden</w:t>
      </w:r>
    </w:p>
    <w:p>
      <w:r>
        <w:rPr>
          <w:i/>
          <w:color w:val="666666"/>
          <w:sz w:val="18"/>
        </w:rPr>
        <w:t>Engström Å et al.  ·  Int J Circumpolar Health  ·  31.12.2026  ·  PMID 42507891</w:t>
      </w:r>
    </w:p>
    <w:p>
      <w:r>
        <w:t>Deskriptive Querschnittstudie zu Motivationen und wahrgenommenen Gesundheitseffekten des Saunabades mit 588 schwedischen Regelmäßigen (384 Frauen, 204 Männer).</w:t>
      </w:r>
    </w:p>
    <w:p>
      <w:r>
        <w:rPr>
          <w:b/>
        </w:rPr>
        <w:t xml:space="preserve">Ergebnis: </w:t>
      </w:r>
      <w:r>
        <w:t>Frauen nannten psychische Erholung als Hauptmotivation (mental recovery), Männer soziale Kontakte (social togetherness). Frauen berichteten signifikant bessere Schlafqualität (p&lt;0,05) und weniger Körperschmerz (p&lt;0,05) nach Saunabaden; Männer zeigten diese Unterschiede nicht. Sauna wird als multidimensionale Gesundheitsförderung wahrgenommen.</w:t>
      </w:r>
    </w:p>
    <w:p>
      <w:r>
        <w:rPr>
          <w:b/>
          <w:sz w:val="19"/>
        </w:rPr>
        <w:t xml:space="preserve">Übertragbarkeit: </w:t>
      </w:r>
      <w:r>
        <w:rPr>
          <w:sz w:val="19"/>
        </w:rPr>
        <w:t>Skandinavien, kulturelle Besonderheit, Geschlechterdimorphismus in Wahrnehmung und biologischer Response</w:t>
      </w:r>
    </w:p>
    <w:p>
      <w:r>
        <w:rPr>
          <w:color w:val="5A7D3A"/>
          <w:sz w:val="18"/>
        </w:rPr>
        <w:t>https://pubmed.ncbi.nlm.nih.gov/42507891/</w:t>
      </w:r>
    </w:p>
    <w:p>
      <w:pPr>
        <w:pStyle w:val="Heading2"/>
      </w:pPr>
      <w:r>
        <w:t>Englischproficiency und Versorgung: Wer die Sprache nicht spricht, kommt nicht an Versorgung heran – England</w:t>
      </w:r>
    </w:p>
    <w:p>
      <w:r>
        <w:rPr>
          <w:i/>
          <w:color w:val="666666"/>
          <w:sz w:val="18"/>
        </w:rPr>
        <w:t>Davidson R et al.  ·  Health Place  ·  13.07.2026  ·  PMID 42442179</w:t>
      </w:r>
    </w:p>
    <w:p>
      <w:r>
        <w:t>Analyse von Routinedaten aus Hausarztpraxen und Kliniken in Nordwestlondon: Zusammenhang zwischen Englischkenntnissen und gesundheitlicher Versorgung sowie Outcomes.</w:t>
      </w:r>
    </w:p>
    <w:p>
      <w:r>
        <w:rPr>
          <w:b/>
        </w:rPr>
        <w:t xml:space="preserve">Ergebnis: </w:t>
      </w:r>
      <w:r>
        <w:t>Personen ohne Englischkenntnisse zeigten höhere altersbereinigt Prävalenzen kardiometabolischer Erkrankungen und höhere primär- und sekundärmedizinische Inanspruchnahme. Sprachbarrieren sind ein signifikanter Zugangshindernis; Sprachunterstützung ab Registrierung wird empfohlen.</w:t>
      </w:r>
    </w:p>
    <w:p>
      <w:r>
        <w:rPr>
          <w:b/>
          <w:sz w:val="19"/>
        </w:rPr>
        <w:t xml:space="preserve">Übertragbarkeit: </w:t>
      </w:r>
      <w:r>
        <w:rPr>
          <w:sz w:val="19"/>
        </w:rPr>
        <w:t>Großbritannien (NHS), vergleichbare Dokumentationspflichten, anderer Zugang als Deutschland</w:t>
      </w:r>
    </w:p>
    <w:p>
      <w:r>
        <w:rPr>
          <w:color w:val="5A7D3A"/>
          <w:sz w:val="18"/>
        </w:rPr>
        <w:t>https://pubmed.ncbi.nlm.nih.gov/42442179/</w:t>
      </w:r>
    </w:p>
    <w:p>
      <w:pPr>
        <w:pStyle w:val="Heading2"/>
      </w:pPr>
      <w:r>
        <w:t>Frauen erholen sich besser von großen Magen-Darm-Tumoren – Männer zeigen höhere Sterblichkeit</w:t>
      </w:r>
    </w:p>
    <w:p>
      <w:r>
        <w:rPr>
          <w:i/>
          <w:color w:val="666666"/>
          <w:sz w:val="18"/>
        </w:rPr>
        <w:t>Mantke R et al.  ·  BJS Open  ·  03.07.2026  ·  PMID 42397348</w:t>
      </w:r>
    </w:p>
    <w:p>
      <w:r>
        <w:t>Vergleich von geschlechtsspezifischen Sterblichkeitsraten und Komplikationen nach kurativen Resektionen von Magen-Darm-Tumoren anhand deutscher Routinedaten 2010–2023.</w:t>
      </w:r>
    </w:p>
    <w:p>
      <w:r>
        <w:rPr>
          <w:b/>
        </w:rPr>
        <w:t xml:space="preserve">Ergebnis: </w:t>
      </w:r>
      <w:r>
        <w:t>Frauen hatten niedrigere adjustierte Odds für in-hospital-Mortalität (5,4 % vs. 6,3 %; aOR 0,82, 95%-KI 0,81–0,84) und Komplikationen (11,9 % vs. 12,4 %; aOR 0,92, 95%-KI 0,89–0,94) als Männer. Der Vorteil war konsistent über Tumorarten hinweg (außer Ösophagus). Ursachen sind nicht unmittelbar geklärt.</w:t>
      </w:r>
    </w:p>
    <w:p>
      <w:r>
        <w:rPr>
          <w:b/>
          <w:sz w:val="19"/>
        </w:rPr>
        <w:t xml:space="preserve">Übertragbarkeit: </w:t>
      </w:r>
      <w:r>
        <w:rPr>
          <w:sz w:val="19"/>
        </w:rPr>
        <w:t>Deutschland, deutsche Klinikdaten und Diagnoseverfahren mit hoher Dokumentationsqualität</w:t>
      </w:r>
    </w:p>
    <w:p>
      <w:r>
        <w:rPr>
          <w:color w:val="5A7D3A"/>
          <w:sz w:val="18"/>
        </w:rPr>
        <w:t>https://pubmed.ncbi.nlm.nih.gov/42397348/</w:t>
      </w:r>
    </w:p>
    <w:p>
      <w:pPr>
        <w:pStyle w:val="Heading2"/>
      </w:pPr>
      <w:r>
        <w:t>Frauen im gebärfähigen Alter: 30 Jahre Wandel in Gesundheit, Lebensstil, Verhütung – Schweiz</w:t>
      </w:r>
    </w:p>
    <w:p>
      <w:r>
        <w:rPr>
          <w:i/>
          <w:color w:val="666666"/>
          <w:sz w:val="18"/>
        </w:rPr>
        <w:t>Calabretti I et al.  ·  Swiss Med Wkly  ·  17.06.2026  ·  PMID 42371870</w:t>
      </w:r>
    </w:p>
    <w:p>
      <w:r>
        <w:t>Analyse von sieben landesweiten Schweizer Gesundheitsumfragen (1992–2022): Trends in Gesundheit, Medikamentengebrauch, Lebensstil und Verhütungswahl bei 15- bis 49-jährigen Frauen.</w:t>
      </w:r>
    </w:p>
    <w:p>
      <w:r>
        <w:rPr>
          <w:b/>
        </w:rPr>
        <w:t xml:space="preserve">Ergebnis: </w:t>
      </w:r>
      <w:r>
        <w:t>Bildung stieg auf 35,9 % (Universitätsabschluss), Erwerbstätigenquote auf 82,6 %. BMI stieg von 21,7 auf 23,2. Psychische Gesundheitskonsultationen verdoppelten sich. Hormonelle Verhütung sank um 27,5 Punkte; IUP und Kondome stiegen. Antikonzeptiva-Mix verschob sich, ohne dass Gesamtabdeckung sank.</w:t>
      </w:r>
    </w:p>
    <w:p>
      <w:r>
        <w:rPr>
          <w:b/>
          <w:sz w:val="19"/>
        </w:rPr>
        <w:t xml:space="preserve">Übertragbarkeit: </w:t>
      </w:r>
      <w:r>
        <w:rPr>
          <w:sz w:val="19"/>
        </w:rPr>
        <w:t>Schweiz, vergleichbare Sozialversicherung mit Deutschland, verlässliche Bevölkerungsdaten</w:t>
      </w:r>
    </w:p>
    <w:p>
      <w:r>
        <w:rPr>
          <w:color w:val="5A7D3A"/>
          <w:sz w:val="18"/>
        </w:rPr>
        <w:t>https://pubmed.ncbi.nlm.nih.gov/42371870/</w:t>
      </w:r>
    </w:p>
    <w:p>
      <w:pPr>
        <w:pStyle w:val="Heading1"/>
      </w:pPr>
      <w:r>
        <w:t>Aufgenommen am 27.08.2026</w:t>
      </w:r>
    </w:p>
    <w:p>
      <w:pPr>
        <w:pStyle w:val="Heading2"/>
      </w:pPr>
      <w:r>
        <w:t>Koronare Herzkrankheit bei Frauen: Nicht-obstruktive Phänotypen erfordern andere Diagnos tik und Therapie</w:t>
      </w:r>
    </w:p>
    <w:p>
      <w:r>
        <w:rPr>
          <w:i/>
          <w:color w:val="666666"/>
          <w:sz w:val="18"/>
        </w:rPr>
        <w:t>Nastouli KM et al.  ·  Medicina (Kaunas)  ·  07.07.2026  ·  PMID 42512855</w:t>
      </w:r>
    </w:p>
    <w:p>
      <w:r>
        <w:t>Europäische Review (Autoren aus Griechenland, UK, Deutschland, Schweiz) fasst geschlechtsspezifische Pathophysiologie, Risikofaktoren, Präsentation und Management zusammen.</w:t>
      </w:r>
    </w:p>
    <w:p>
      <w:r>
        <w:rPr>
          <w:b/>
        </w:rPr>
        <w:t xml:space="preserve">Ergebnis: </w:t>
      </w:r>
      <w:r>
        <w:t>Frauen präsentieren häufiger mit nicht-obstruktiven Mustern: Angina mit nicht-obstruktiven Koronararterien (INOCA), koronare mikrovaskuläre Dysfunktion, Myokardinfarkt ohne obstruktive Koronararterien (MINOCA), spontane Koronararteriendissektion (SCAD), Takotsubo-Syndrom. Diese erfordern kardiale MRT, intrakoronare Bildgebung und Funktionsprüfung statt nur Stenose-Detektion. Frauen haben niedrigere Troponinwerte, atypische Symptome und werden deswegen verzögert diagnostiziert. Weiblich-spezifische Risikofaktoren: vorzeitige Menopause, adverse Schwangerschaftsergebnisse, Polyzystisches Ovarialsyndrom, Autoimmunerkrankungen, psychosoziale Stressoren.</w:t>
      </w:r>
    </w:p>
    <w:p>
      <w:r>
        <w:rPr>
          <w:b/>
          <w:sz w:val="19"/>
        </w:rPr>
        <w:t xml:space="preserve">Übertragbarkeit: </w:t>
      </w:r>
      <w:r>
        <w:rPr>
          <w:sz w:val="19"/>
        </w:rPr>
        <w:t>Europäische Experten, klinische Leitlinie, DACH nicht im Autorenkollektiv aber anwendbar</w:t>
      </w:r>
    </w:p>
    <w:p>
      <w:r>
        <w:rPr>
          <w:color w:val="5A7D3A"/>
          <w:sz w:val="18"/>
        </w:rPr>
        <w:t>https://pubmed.ncbi.nlm.nih.gov/42512855/</w:t>
      </w:r>
    </w:p>
    <w:p>
      <w:pPr>
        <w:pStyle w:val="Heading2"/>
      </w:pPr>
      <w:r>
        <w:t>Diskriminierungserfahrungen von Pflegestudierenden: Frauen berichten signifikant mehr</w:t>
      </w:r>
    </w:p>
    <w:p>
      <w:r>
        <w:rPr>
          <w:i/>
          <w:color w:val="666666"/>
          <w:sz w:val="18"/>
        </w:rPr>
        <w:t>Ungar N et al.  ·  Psychiatr Prax  ·  20.07.2026  ·  PMID 42476182</w:t>
      </w:r>
    </w:p>
    <w:p>
      <w:r>
        <w:t>Deutsche Onlinebefragung von 117 Pflegestudierenden prüfte, inwieweit Studierende in praktischen Einsätzen Diskriminierung erleben und welche Rolle das Geschlecht spielt.</w:t>
      </w:r>
    </w:p>
    <w:p>
      <w:r>
        <w:rPr>
          <w:b/>
        </w:rPr>
        <w:t xml:space="preserve">Ergebnis: </w:t>
      </w:r>
      <w:r>
        <w:t>Über 50% erlebten gelegentlich oder regelmäßig Diskriminierung. Weibliche Studierende berichteten signifikant höhere Diskriminierungswerte als männliche (M=4,27 vs. 2,99, p=0,001). Kein signifikanter Zusammenhang mit Geschlechtsrollenselbstkonzept. Diese Ergebnisse quantifizieren Diskriminierung in der Pflegeausbildung und belegen das Geschlecht als Risikofaktor.</w:t>
      </w:r>
    </w:p>
    <w:p>
      <w:r>
        <w:rPr>
          <w:b/>
          <w:sz w:val="19"/>
        </w:rPr>
        <w:t xml:space="preserve">Übertragbarkeit: </w:t>
      </w:r>
      <w:r>
        <w:rPr>
          <w:sz w:val="19"/>
        </w:rPr>
        <w:t>Deutschland, direkte deutsche Stichprobe, Versorgungsausbildung</w:t>
      </w:r>
    </w:p>
    <w:p>
      <w:r>
        <w:rPr>
          <w:color w:val="5A7D3A"/>
          <w:sz w:val="18"/>
        </w:rPr>
        <w:t>https://pubmed.ncbi.nlm.nih.gov/42476182/</w:t>
      </w:r>
    </w:p>
    <w:p>
      <w:pPr>
        <w:pStyle w:val="Heading2"/>
      </w:pPr>
      <w:r>
        <w:t>Körperzusammensetzung und Diabetesrisiko: Geschlechtsspezifische Fett-Muskel-Muster in der UK Biobank</w:t>
      </w:r>
    </w:p>
    <w:p>
      <w:r>
        <w:rPr>
          <w:i/>
          <w:color w:val="666666"/>
          <w:sz w:val="18"/>
        </w:rPr>
        <w:t>Ma Y et al.  ·  Diabetes  ·  01.09.2026  ·  PMID 42467557</w:t>
      </w:r>
    </w:p>
    <w:p>
      <w:r>
        <w:t>UK Biobank Daten von 258.500 Personen prüften, ob Muster von Fettverteilung und Muskelaufbau den Typ-2-Diabetes-Risikovorhersage besser erklären als alleinige Adipositas-Maße und ob dies geschlechtsspezifisch ist.</w:t>
      </w:r>
    </w:p>
    <w:p>
      <w:r>
        <w:rPr>
          <w:b/>
        </w:rPr>
        <w:t xml:space="preserve">Ergebnis: </w:t>
      </w:r>
      <w:r>
        <w:t>Über 11 Jahre: 33.636 Diabetes-Fälle. Generalisierte Adiposität erhöhte das Risiko bei Männern um Faktor 1,73 (95% CI 1,33–2,24) und Frauen um 2,21 (1,55–3,16). Bein-dominante Muskelmasse senkte das Risiko (Männer HR 0,57, Frauen HR 0,50). Zentrale Magerheit senkte Risiko nur bei Frauen (HR 0,41). Geschlechtsspezifische Beitragsmuster: zentrale Magerheit stärker bei Männern, Bein-Muskulatur stärker bei Frauen.</w:t>
      </w:r>
    </w:p>
    <w:p>
      <w:r>
        <w:rPr>
          <w:b/>
          <w:sz w:val="19"/>
        </w:rPr>
        <w:t xml:space="preserve">Übertragbarkeit: </w:t>
      </w:r>
      <w:r>
        <w:rPr>
          <w:sz w:val="19"/>
        </w:rPr>
        <w:t>UK Biobank, große Querschnittsstudie, anthropometrische Standardmessungen</w:t>
      </w:r>
    </w:p>
    <w:p>
      <w:r>
        <w:rPr>
          <w:color w:val="5A7D3A"/>
          <w:sz w:val="18"/>
        </w:rPr>
        <w:t>https://pubmed.ncbi.nlm.nih.gov/42467557/</w:t>
      </w:r>
    </w:p>
    <w:p>
      <w:pPr>
        <w:pStyle w:val="Heading2"/>
      </w:pPr>
      <w:r>
        <w:t>Herzinsuffizienz bei Frauen: Vergleichbare Langzeitprognose, unterschiedliche Präsentation</w:t>
      </w:r>
    </w:p>
    <w:p>
      <w:r>
        <w:rPr>
          <w:i/>
          <w:color w:val="666666"/>
          <w:sz w:val="18"/>
        </w:rPr>
        <w:t>Romero-Carrete C et al.  ·  Med Clin (Barc)  ·  07.07.2026  ·  PMID 42413339</w:t>
      </w:r>
    </w:p>
    <w:p>
      <w:r>
        <w:t>Spanische Routinedaten von 1.986 Herzinsuffizienz-Patienten untersuchten geschlechtsspezifische Unterschiede in Klinik und Sterblichkeit über 10 Jahre.</w:t>
      </w:r>
    </w:p>
    <w:p>
      <w:r>
        <w:rPr>
          <w:b/>
        </w:rPr>
        <w:t xml:space="preserve">Ergebnis: </w:t>
      </w:r>
      <w:r>
        <w:t>Frauen präsentierten sich mit fortgeschrittenerer NYHA-Klasse, Männer hatten niedrigere Ejektionsfraktion. Nach Anpassung: Keine signifikanten Unterschiede in der Gesamtsterblichkeit (HR Männer 1,109, p &gt; 0,05). Mortalitätsrisikofaktoren waren unabhängig vom Geschlecht: Alter≥80, NYHA III-IV, chronische Nierenerkrankung, Diabetes, koronare Erkrankung. Diese Ähnlichkeit in den Outcomes widerlegt frühereThesen ausgeprägter Geschlechtsunterschiede.</w:t>
      </w:r>
    </w:p>
    <w:p>
      <w:r>
        <w:rPr>
          <w:b/>
          <w:sz w:val="19"/>
        </w:rPr>
        <w:t xml:space="preserve">Übertragbarkeit: </w:t>
      </w:r>
      <w:r>
        <w:rPr>
          <w:sz w:val="19"/>
        </w:rPr>
        <w:t>Spanische Klinikdaten, ähnliche Versicherungssysteme wie Deutschland</w:t>
      </w:r>
    </w:p>
    <w:p>
      <w:r>
        <w:rPr>
          <w:color w:val="5A7D3A"/>
          <w:sz w:val="18"/>
        </w:rPr>
        <w:t>https://pubmed.ncbi.nlm.nih.gov/42413339/</w:t>
      </w:r>
    </w:p>
    <w:p>
      <w:pPr>
        <w:pStyle w:val="Heading2"/>
      </w:pPr>
      <w:r>
        <w:t>Vorhofflimmern und körperliche Funktion älterer Menschen: Geschlechtsspezifische Muster cerebraler Mikroinfarkte</w:t>
      </w:r>
    </w:p>
    <w:p>
      <w:r>
        <w:rPr>
          <w:i/>
          <w:color w:val="666666"/>
          <w:sz w:val="18"/>
        </w:rPr>
        <w:t>Spruit JR et al.  ·  J Am Med Dir Assoc  ·  06.07.2026  ·  PMID 42407388</w:t>
      </w:r>
    </w:p>
    <w:p>
      <w:r>
        <w:t>Niederländische Gedächtnissprechstunden-Kohorte (Amsterdam, n=1.044, Alter 79,2 Jahre) prüfte, ob zerebrale Kleingefäßerkrankung den Zusammenhang zwischen Vorhofflimmern und körperlichem Abbau erklärt und ob dies geschlechtsspezifisch ist.</w:t>
      </w:r>
    </w:p>
    <w:p>
      <w:r>
        <w:rPr>
          <w:b/>
        </w:rPr>
        <w:t xml:space="preserve">Ergebnis: </w:t>
      </w:r>
      <w:r>
        <w:t>AF-Prävalenz 15,4%. Männer mit AF: erhöhte Wahrscheinlichkeit für White-Matter-Hyperintensitäten (aOR 1,95, p&lt;0,001). Frauen mit AF: erhöhte Wahrscheinlichkeit für ≥3 zerebrale Mikroblutungen (aOR 1,94, p&lt;0,05). AF assoziiert mit Gangverlangsamung und Short Physical Performance Battery &lt;10 (aOR 2,42, p&lt;0,001), aber nicht mit Kognition. White-Matter-Hyperintensitäten mediierten die AF-Funktion-Assoziation, besonders bei Männern (B=0,57, p=0,012).</w:t>
      </w:r>
    </w:p>
    <w:p>
      <w:r>
        <w:rPr>
          <w:b/>
          <w:sz w:val="19"/>
        </w:rPr>
        <w:t xml:space="preserve">Übertragbarkeit: </w:t>
      </w:r>
      <w:r>
        <w:rPr>
          <w:sz w:val="19"/>
        </w:rPr>
        <w:t>Niederlande, vergleichbare Gesundheitssystemstruktur</w:t>
      </w:r>
    </w:p>
    <w:p>
      <w:r>
        <w:rPr>
          <w:color w:val="5A7D3A"/>
          <w:sz w:val="18"/>
        </w:rPr>
        <w:t>https://pubmed.ncbi.nlm.nih.gov/42407388/</w:t>
      </w:r>
    </w:p>
    <w:p>
      <w:pPr>
        <w:pStyle w:val="Heading2"/>
      </w:pPr>
      <w:r>
        <w:t>Anthropometrische Indizes für Schlafapnoe-Screening: Geschlechter- unterschiede verbessern Diagnostik</w:t>
      </w:r>
    </w:p>
    <w:p>
      <w:r>
        <w:rPr>
          <w:i/>
          <w:color w:val="666666"/>
          <w:sz w:val="18"/>
        </w:rPr>
        <w:t>Kalkanis A et al.  ·  Sleep Med  ·  04.07.2026  ·  PMID 42407328</w:t>
      </w:r>
    </w:p>
    <w:p>
      <w:r>
        <w:t>Europäische Schlaflabor-Routine daten (ESADA) von 10.916 Patienten prüften, welche Körpermaße mittelschwere-schwere Schlafapnoe besser identifizieren als BMI allein.</w:t>
      </w:r>
    </w:p>
    <w:p>
      <w:r>
        <w:rPr>
          <w:b/>
        </w:rPr>
        <w:t xml:space="preserve">Ergebnis: </w:t>
      </w:r>
      <w:r>
        <w:t>Bei Männern: Körperfettanteil nach Deurenberg &gt;25,94% zeigte 90,5% Sensitivität und 79,4% Genauigkeit. Bei Frauen: Körperfettanteil nach Lean &gt;43,15% zeigte 88% Sensitivität und 72,5% Genauigkeit. Beide übertroffen BMI (Männer AUC 0,715; Frauen AUC 0,681). Geschlechtsspezifische Schwellwerte ermöglichen präzisere Selektion für Heim- schlaftests.</w:t>
      </w:r>
    </w:p>
    <w:p>
      <w:r>
        <w:rPr>
          <w:b/>
          <w:sz w:val="19"/>
        </w:rPr>
        <w:t xml:space="preserve">Übertragbarkeit: </w:t>
      </w:r>
      <w:r>
        <w:rPr>
          <w:sz w:val="19"/>
        </w:rPr>
        <w:t>Europäische Routine-Polysomnographie, DACH-Länder im Netzwerk</w:t>
      </w:r>
    </w:p>
    <w:p>
      <w:r>
        <w:rPr>
          <w:color w:val="5A7D3A"/>
          <w:sz w:val="18"/>
        </w:rPr>
        <w:t>https://pubmed.ncbi.nlm.nih.gov/42407328/</w:t>
      </w:r>
    </w:p>
    <w:p>
      <w:pPr>
        <w:pStyle w:val="Heading1"/>
      </w:pPr>
      <w:r>
        <w:t>Aufgenommen am 26.08.2026</w:t>
      </w:r>
    </w:p>
    <w:p>
      <w:pPr>
        <w:pStyle w:val="Heading2"/>
      </w:pPr>
      <w:r>
        <w:t>Gestationsdiabetes und fetale Programmierung: Mädchen stärker betroffen</w:t>
      </w:r>
    </w:p>
    <w:p>
      <w:r>
        <w:rPr>
          <w:i/>
          <w:color w:val="666666"/>
          <w:sz w:val="18"/>
        </w:rPr>
        <w:t>Hatem G et al.  ·  BMC Med  ·  21.08.2026  ·  PMID 42629565</w:t>
      </w:r>
    </w:p>
    <w:p>
      <w:r>
        <w:t>Multi-omics-Kohortenstudie (Tansania, n=GDM-exponierte und Kontroll-Neugeborene) zu genetischen, epigenetischen und transkriptomischen Signaturen bei Neugeborenen von Gestationsdiabetes-Müttern mit Geschlechtsstratifizierung.</w:t>
      </w:r>
    </w:p>
    <w:p>
      <w:r>
        <w:rPr>
          <w:b/>
        </w:rPr>
        <w:t xml:space="preserve">Ergebnis: </w:t>
      </w:r>
      <w:r>
        <w:t>Mädchen zeigten stärker ausgeprägte Unterschiede: höhere anthropometrische Maße, höherer polygenetischer Score für T2D-β-Zell-Dysfunktion, erhöhtes Cord-Insulin. Differenziell exprimierte Gene: 273 bei Mädchen vs. 4 bei Jungen. Gene (SESN3, HMBS, MAN2A2) korrelierten mit Neonatalanthropometrie und Insulin, besonders bei Mädchen. Gene waren fetal-pankreaspezifisch. Biologische Programmierung zeigt geschlechtsspezifische Muster.</w:t>
      </w:r>
    </w:p>
    <w:p>
      <w:r>
        <w:rPr>
          <w:b/>
          <w:sz w:val="19"/>
        </w:rPr>
        <w:t xml:space="preserve">Übertragbarkeit: </w:t>
      </w:r>
      <w:r>
        <w:rPr>
          <w:sz w:val="19"/>
        </w:rPr>
        <w:t>Tansania (LMIC), aber biologisches Fetal-Programming universell, epigenetik grundlagenorientiert.</w:t>
      </w:r>
    </w:p>
    <w:p>
      <w:r>
        <w:rPr>
          <w:color w:val="5A7D3A"/>
          <w:sz w:val="18"/>
        </w:rPr>
        <w:t>https://pubmed.ncbi.nlm.nih.gov/42629565/</w:t>
      </w:r>
    </w:p>
    <w:p>
      <w:pPr>
        <w:pStyle w:val="Heading2"/>
      </w:pPr>
      <w:r>
        <w:t>Müttersterblichkeit im UK: Strukturelle Defizite bei Black, Asian und migrant women</w:t>
      </w:r>
    </w:p>
    <w:p>
      <w:r>
        <w:rPr>
          <w:i/>
          <w:color w:val="666666"/>
          <w:sz w:val="18"/>
        </w:rPr>
        <w:t>Bolarinwa O  ·  Int J Equity Health  ·  27.07.2026  ·  PMID 42509547</w:t>
      </w:r>
    </w:p>
    <w:p>
      <w:r>
        <w:t>Kommentar zu MBRRACE-UK-2025-Daten, der kulturelle Sensibilität in der Geburtshilfe als integralen Teil der Versorgungsgerechtigkeit rahmt – nicht als Zusatz.</w:t>
      </w:r>
    </w:p>
    <w:p>
      <w:r>
        <w:rPr>
          <w:b/>
        </w:rPr>
        <w:t xml:space="preserve">Ergebnis: </w:t>
      </w:r>
      <w:r>
        <w:t>Black, Asian und migrant women in Großbritannien erfahren beharrliche Disparitäten in Müttersterblichkeit, die in strukturellen Mängeln der Versorgung wurzeln, nicht in Differenzen zwischen Gruppen. Der Kommentar fordert Embedding von kultureller Kompetenz in nationale Leitlinien, Servicekonten und verpflichtende Schulung als Bedingung für Equity.</w:t>
      </w:r>
    </w:p>
    <w:p>
      <w:r>
        <w:rPr>
          <w:b/>
          <w:sz w:val="19"/>
        </w:rPr>
        <w:t xml:space="preserve">Übertragbarkeit: </w:t>
      </w:r>
      <w:r>
        <w:rPr>
          <w:sz w:val="19"/>
        </w:rPr>
        <w:t>UK-System, übertragbares Geschäftsmodell (verpflichtend strukturelle Änderungen statt Etikett).</w:t>
      </w:r>
    </w:p>
    <w:p>
      <w:r>
        <w:rPr>
          <w:color w:val="5A7D3A"/>
          <w:sz w:val="18"/>
        </w:rPr>
        <w:t>https://pubmed.ncbi.nlm.nih.gov/42509547/</w:t>
      </w:r>
    </w:p>
    <w:p>
      <w:pPr>
        <w:pStyle w:val="Heading1"/>
      </w:pPr>
      <w:r>
        <w:t>Aufgenommen am 24.08.2026</w:t>
      </w:r>
    </w:p>
    <w:p>
      <w:pPr>
        <w:pStyle w:val="Heading2"/>
      </w:pPr>
      <w:r>
        <w:t>HPV-Screening bei transmanischen Personen: Selbst gewonnene Urinprobe akzeptabel und praktikabel</w:t>
      </w:r>
    </w:p>
    <w:p>
      <w:r>
        <w:rPr>
          <w:i/>
          <w:color w:val="666666"/>
          <w:sz w:val="18"/>
        </w:rPr>
        <w:t>Vervalcke J et al.  ·  Eur J Obstet Gynecol Reprod Biol  ·  30.07.2026  ·  PMID 42541966</w:t>
      </w:r>
    </w:p>
    <w:p>
      <w:r>
        <w:t>Proof-of-Concept-Studie an 19 transmanischen Personen mit Zervix prüfte Akzeptabilität und Machbarkeit selbst gewonnener HPV-Tests zur Überwindung von Barrieren beim Zervixkrebsscreening.</w:t>
      </w:r>
    </w:p>
    <w:p>
      <w:r>
        <w:rPr>
          <w:b/>
        </w:rPr>
        <w:t xml:space="preserve">Ergebnis: </w:t>
      </w:r>
      <w:r>
        <w:t>94,7 % (18/19) betrachteten Selbstprobennahme als wertvoll, 84,2 % (16/19) bevorzugten Urin- gegenüber vaginaler Probe. HPV-Positivität in 2/17 Urinproben und 3/17 Vaginalproben nachgewiesen (Genotypen 53, 66). Kein unerwünschtes Ereignis berichtet.</w:t>
      </w:r>
    </w:p>
    <w:p>
      <w:r>
        <w:rPr>
          <w:b/>
          <w:sz w:val="19"/>
        </w:rPr>
        <w:t xml:space="preserve">Übertragbarkeit: </w:t>
      </w:r>
      <w:r>
        <w:rPr>
          <w:sz w:val="19"/>
        </w:rPr>
        <w:t>Belgien, europäisches Gesundheitssystem; zeigt Zugangsbarriere bei einer unterversorgten Population und pragmatische Lösung.</w:t>
      </w:r>
    </w:p>
    <w:p>
      <w:r>
        <w:rPr>
          <w:color w:val="5A7D3A"/>
          <w:sz w:val="18"/>
        </w:rPr>
        <w:t>https://pubmed.ncbi.nlm.nih.gov/42541966/</w:t>
      </w:r>
    </w:p>
    <w:p>
      <w:pPr>
        <w:pStyle w:val="Heading1"/>
      </w:pPr>
      <w:r>
        <w:t>Aufgenommen am 23.08.2026</w:t>
      </w:r>
    </w:p>
    <w:p>
      <w:pPr>
        <w:pStyle w:val="Heading2"/>
      </w:pPr>
      <w:r>
        <w:t>Luftqualität und niedriges Geburtsgewicht: Verbesserung der Luftqualität würde bei Müttern mit niedriger Schulbildung mehr Fälle verhindern</w:t>
      </w:r>
    </w:p>
    <w:p>
      <w:r>
        <w:rPr>
          <w:i/>
          <w:color w:val="666666"/>
          <w:sz w:val="18"/>
        </w:rPr>
        <w:t>Sieber S et al.  ·  Int J Epidemiol  ·  24.06.2026  ·  PMID 42470137</w:t>
      </w:r>
    </w:p>
    <w:p>
      <w:r>
        <w:t>Bevölkerungsgestützte Studie aus Spanien mit 1,4 Millionen Geburten 2010–2018, Analyse der Assoziation zwischen Feinstaubexposition (PM2,5, NO₂) und Niedriges-Geburtsgewicht, stratifiziert nach mütterlicher Schulbildung.</w:t>
      </w:r>
    </w:p>
    <w:p>
      <w:r>
        <w:rPr>
          <w:b/>
        </w:rPr>
        <w:t xml:space="preserve">Ergebnis: </w:t>
      </w:r>
      <w:r>
        <w:t>Ein Anstieg von 10 µg/m³ PM2,5 war mit 6 % höheren Chancen für niedriges Geburtsgewicht assoziiert (95 %-KI 0–11 %), NO₂ mit 1 % (95 %-KI 0–3 %). Mütter mit Primarschule zeigten höchstes Risiko (OR 1,76, 95 %-KI 1,71–1,82 gegenüber tertiärer Bildung). Die primäre Schulbildungsgruppe erfuhr die größten relativen Risikreduktionen unter Luftqualitäts-Interventionsszenarien. Soziale Determinanten (Bildung) waren stärker als Luftqualität allein.</w:t>
      </w:r>
    </w:p>
    <w:p>
      <w:r>
        <w:rPr>
          <w:b/>
          <w:sz w:val="19"/>
        </w:rPr>
        <w:t xml:space="preserve">Übertragbarkeit: </w:t>
      </w:r>
      <w:r>
        <w:rPr>
          <w:sz w:val="19"/>
        </w:rPr>
        <w:t>Spanien, europäisches Gesundheitssystem mit Routinedaten zu Geburten; Luftqualität und Bildung sind soziale, nicht biologische Erklärung.</w:t>
      </w:r>
    </w:p>
    <w:p>
      <w:r>
        <w:rPr>
          <w:color w:val="5A7D3A"/>
          <w:sz w:val="18"/>
        </w:rPr>
        <w:t>https://pubmed.ncbi.nlm.nih.gov/42470137/</w:t>
      </w:r>
    </w:p>
    <w:p>
      <w:pPr>
        <w:pStyle w:val="Heading2"/>
      </w:pPr>
      <w:r>
        <w:t>Herzinfarkt im erwerbstätigen Alter: Frauen zeigen stärkere Assoziationen mit psychischen Komorbiditäten als Männer</w:t>
      </w:r>
    </w:p>
    <w:p>
      <w:r>
        <w:rPr>
          <w:i/>
          <w:color w:val="666666"/>
          <w:sz w:val="18"/>
        </w:rPr>
        <w:t>Checa C et al.  ·  BMJ Open  ·  17.07.2026  ·  PMID 42468957</w:t>
      </w:r>
    </w:p>
    <w:p>
      <w:r>
        <w:t>Bevölkerungsbasierte Querschnittstudie aus Spanien mit 80 MI-Fällen unter 400 Erwerbstätigen (2020) zur Untersuchung von Geschlechtsunterschieden in Assoziation mit Risikofaktoren.</w:t>
      </w:r>
    </w:p>
    <w:p>
      <w:r>
        <w:rPr>
          <w:b/>
        </w:rPr>
        <w:t xml:space="preserve">Ergebnis: </w:t>
      </w:r>
      <w:r>
        <w:t>MI betraf überwiegend Männer (74,2 %). Bei Frauen waren Depression (OR 6,75, 95 %-KI 2,23–20,4), Adipositas (OR 6,36, 95 %-KI 1,62–24,9) und COPD (OR 27,7, 95 %-KI 4,21–749) stärker mit MI assoziiert; bei Männern Angststörungen (OR 8,65, 95 %-KI 3,09–26,8) und Hypertonie (OR 4,11, 95 %-KI 2,24–7,62). Der Unterschied liegt in unterschiedlichen Komorbiditätsmustern, nicht in Beschäftigungsfaktoren.</w:t>
      </w:r>
    </w:p>
    <w:p>
      <w:r>
        <w:rPr>
          <w:b/>
          <w:sz w:val="19"/>
        </w:rPr>
        <w:t xml:space="preserve">Übertragbarkeit: </w:t>
      </w:r>
      <w:r>
        <w:rPr>
          <w:sz w:val="19"/>
        </w:rPr>
        <w:t>Spanien, europäisches Versicherungssystem vergleichbar mit Deutschland; populationsgestützte Daten mit Geschlechtsstratifikation.</w:t>
      </w:r>
    </w:p>
    <w:p>
      <w:r>
        <w:rPr>
          <w:color w:val="5A7D3A"/>
          <w:sz w:val="18"/>
        </w:rPr>
        <w:t>https://pubmed.ncbi.nlm.nih.gov/42468957/</w:t>
      </w:r>
    </w:p>
    <w:p>
      <w:pPr>
        <w:pStyle w:val="Heading1"/>
      </w:pPr>
      <w:r>
        <w:t>Aufgenommen am 21.08.2026</w:t>
      </w:r>
    </w:p>
    <w:p>
      <w:pPr>
        <w:pStyle w:val="Heading2"/>
      </w:pPr>
      <w:r>
        <w:t>Migrantenstatut beeinflusst Spezialistenzugang unterschiedlich nach Geschlecht in Spanien</w:t>
      </w:r>
    </w:p>
    <w:p>
      <w:r>
        <w:rPr>
          <w:i/>
          <w:color w:val="666666"/>
          <w:sz w:val="18"/>
        </w:rPr>
        <w:t>Lopez-de-Andres A et al.  ·  Front Public Health  ·  05.08.2026  ·  PMID 42621034</w:t>
      </w:r>
    </w:p>
    <w:p>
      <w:r>
        <w:t>Bevölkerungsbasierte Matched-Analyse der spanischen Gesundheitsumfrage 2023 zu Geschlechtsunterschieden im Versorgungszugang zwischen Migranten und im Land Geborenen (N=5.044).</w:t>
      </w:r>
    </w:p>
    <w:p>
      <w:r>
        <w:rPr>
          <w:b/>
        </w:rPr>
        <w:t xml:space="preserve">Ergebnis: </w:t>
      </w:r>
      <w:r>
        <w:t>Migranten zeigten weniger Facharztzugang, Psychologen, Physiotherapie und Zahnpflege. Nach voller Adjustierung blieb Migranten-Status nicht mit Primärversorgung assoziiert; Unterschiede bei Spezialistenbesuchen aber persistent (Männer aOR 1,28; Frauen aOR 1,31). Ungleichheiten in Prävention waren bei Frauen ausgeprägter. Soziodemografische Faktoren, Komorbiditäten und Lebensstil erklärten teilweise, nicht vollständig.</w:t>
      </w:r>
    </w:p>
    <w:p>
      <w:r>
        <w:rPr>
          <w:b/>
          <w:sz w:val="19"/>
        </w:rPr>
        <w:t xml:space="preserve">Übertragbarkeit: </w:t>
      </w:r>
      <w:r>
        <w:rPr>
          <w:sz w:val="19"/>
        </w:rPr>
        <w:t>Spanien, ähnliches Versicherungssystem wie Deutschland</w:t>
      </w:r>
    </w:p>
    <w:p>
      <w:r>
        <w:rPr>
          <w:color w:val="5A7D3A"/>
          <w:sz w:val="18"/>
        </w:rPr>
        <w:t>https://pubmed.ncbi.nlm.nih.gov/42621034/</w:t>
      </w:r>
    </w:p>
    <w:p>
      <w:pPr>
        <w:pStyle w:val="Heading2"/>
      </w:pPr>
      <w:r>
        <w:t>Kumulative soziale Benachteiligung wirkt stärker auf Männersterblichkeit, trifft junge Frauen früher</w:t>
      </w:r>
    </w:p>
    <w:p>
      <w:r>
        <w:rPr>
          <w:i/>
          <w:color w:val="666666"/>
          <w:sz w:val="18"/>
        </w:rPr>
        <w:t>Worede DT et al.  ·  BMC Public Health  ·  03.08.2026  ·  PMID 42547865</w:t>
      </w:r>
    </w:p>
    <w:p>
      <w:r>
        <w:t>28-Jahres-Längsschnittstudie des Sozio-Oekonomischen Panels (SOEP 1996–2023) zur Geschlechtsinteraktion zwischen sozialer Benachteiligung und Mortalität (N=112.006 Erwachsene, 660.480 Person-Wellen, 4.974 Todesfälle).</w:t>
      </w:r>
    </w:p>
    <w:p>
      <w:r>
        <w:rPr>
          <w:b/>
        </w:rPr>
        <w:t xml:space="preserve">Ergebnis: </w:t>
      </w:r>
      <w:r>
        <w:t>Kumulative soziale Benachteiligung erhöhte Mortalitätsrisiko bei beiden: Frauen +13% pro Jahr (HR 1,13; KI 1,07–1,19 bei 50 J.); Steigung steiler bei Männern (+15%, Interaktion HR 1,02; KI 1,01–1,04). Alter modulierte: Effekt attenuiert mit steigendem Alter, aber gradueller bei Männern. Life-stage-Effekte: Frauen 16–29 J. stärker (HR 1,34; KI 1,05–1,71); Männer 45+ J. (mid: 1,13; late: 1,14). Biologie versus Zugang nicht differenziert.</w:t>
      </w:r>
    </w:p>
    <w:p>
      <w:r>
        <w:rPr>
          <w:b/>
          <w:sz w:val="19"/>
        </w:rPr>
        <w:t xml:space="preserve">Übertragbarkeit: </w:t>
      </w:r>
      <w:r>
        <w:rPr>
          <w:sz w:val="19"/>
        </w:rPr>
        <w:t>Deutschland, SOEP-Daten hoher Qualität</w:t>
      </w:r>
    </w:p>
    <w:p>
      <w:r>
        <w:rPr>
          <w:color w:val="5A7D3A"/>
          <w:sz w:val="18"/>
        </w:rPr>
        <w:t>https://pubmed.ncbi.nlm.nih.gov/42547865/</w:t>
      </w:r>
    </w:p>
    <w:p>
      <w:pPr>
        <w:pStyle w:val="Heading2"/>
      </w:pPr>
      <w:r>
        <w:t>Geschlechtsunterschiede in psychiatrischen Symptomprofilen verschwinden nicht beim Übergang in Erwachsenenversorgung</w:t>
      </w:r>
    </w:p>
    <w:p>
      <w:r>
        <w:rPr>
          <w:i/>
          <w:color w:val="666666"/>
          <w:sz w:val="18"/>
        </w:rPr>
        <w:t>D'Addazio M et al.  ·  BMJ Ment Health  ·  21.07.2026  ·  PMID 42481172</w:t>
      </w:r>
    </w:p>
    <w:p>
      <w:r>
        <w:t>Europäische Kohortenstudie (MILESTONE) mit 1.004 Adoleszenten (17–19 J.) über 24 Monate zum Geschlechtsunterschied in psychischen Symptomen und Funktionsfähigkeit beim CAMHS–AMHS-Übergang.</w:t>
      </w:r>
    </w:p>
    <w:p>
      <w:r>
        <w:rPr>
          <w:b/>
        </w:rPr>
        <w:t xml:space="preserve">Ergebnis: </w:t>
      </w:r>
      <w:r>
        <w:t>Männer zeigten durchgehend höhere Symptombelastung (insbes. Angststörung/ASD, ED/OCD, Schizophrenie) und schlechtere Funktionsfähigkeit. Frauen hatten bessere adaptive Outcomes. Unterschiede in Symptomprofilen persistierten über 2 Jahre; Männer stärker in externalisierten, Frauen in internalisierten Symptomen. Risiken weiblicher und männlicher Fehldiagnosen (ADHD/ASD bei Frauen, ED bei Männern) benannt.</w:t>
      </w:r>
    </w:p>
    <w:p>
      <w:r>
        <w:rPr>
          <w:b/>
          <w:sz w:val="19"/>
        </w:rPr>
        <w:t xml:space="preserve">Übertragbarkeit: </w:t>
      </w:r>
      <w:r>
        <w:rPr>
          <w:sz w:val="19"/>
        </w:rPr>
        <w:t>Mehrländer-europäische Daten, vergleichbare Gesundheitssysteme</w:t>
      </w:r>
    </w:p>
    <w:p>
      <w:r>
        <w:rPr>
          <w:color w:val="5A7D3A"/>
          <w:sz w:val="18"/>
        </w:rPr>
        <w:t>https://pubmed.ncbi.nlm.nih.gov/42481172/</w:t>
      </w:r>
    </w:p>
    <w:p>
      <w:pPr>
        <w:pStyle w:val="Heading1"/>
      </w:pPr>
      <w:r>
        <w:t>Aufgenommen am 20.08.2026</w:t>
      </w:r>
    </w:p>
    <w:p>
      <w:pPr>
        <w:pStyle w:val="Heading2"/>
      </w:pPr>
      <w:r>
        <w:t>Hirngefäßverschluss nach Subarachnoidalblutung: Frauen mit erhöhter Sterblichkeit</w:t>
      </w:r>
    </w:p>
    <w:p>
      <w:r>
        <w:rPr>
          <w:i/>
          <w:color w:val="666666"/>
          <w:sz w:val="18"/>
        </w:rPr>
        <w:t>Janssen H et al.  ·  Eur Stroke J  ·  05.08.2026  ·  PMID 42593950</w:t>
      </w:r>
    </w:p>
    <w:p>
      <w:r>
        <w:t>Britische Bevölkerungskohortenstudie an 990 Patienten mit aneurysmatischer Subarachnoidalblutung über Routinedaten der National Death Registries, zur Klärung des Geschlechtergefälles in der 90-Tages-Sterblichkeit.</w:t>
      </w:r>
    </w:p>
    <w:p>
      <w:r>
        <w:rPr>
          <w:b/>
        </w:rPr>
        <w:t xml:space="preserve">Ergebnis: </w:t>
      </w:r>
      <w:r>
        <w:t>Frauen zeigten erhöhte unadjustierte 90-Tages-Sterblichkeit (33,8% vs. 27,5%, OR 1,34; 95% KI: 1,01–1,78). Nach Anpassung für Alter und Baseline-Komorbiditäten (Hypertonie, Rauchen) reduzierte sich der Unterschied deutlich (HR 1,15; 95% KI: 0,90–1,49). Der Geschlechterunterschied ist teilweise durch höheres Alter und ungünstigere Risikofaktorenprofile bei Frauen erklärbar.</w:t>
      </w:r>
    </w:p>
    <w:p>
      <w:r>
        <w:rPr>
          <w:b/>
          <w:sz w:val="19"/>
        </w:rPr>
        <w:t xml:space="preserve">Übertragbarkeit: </w:t>
      </w:r>
      <w:r>
        <w:rPr>
          <w:sz w:val="19"/>
        </w:rPr>
        <w:t>UK-Daten mit ähnlich guten Registrierungssystemen wie Deutschland; biologische und Zugangsaspekte klären sich auf.</w:t>
      </w:r>
    </w:p>
    <w:p>
      <w:r>
        <w:rPr>
          <w:color w:val="5A7D3A"/>
          <w:sz w:val="18"/>
        </w:rPr>
        <w:t>https://pubmed.ncbi.nlm.nih.gov/42593950/</w:t>
      </w:r>
    </w:p>
    <w:p>
      <w:pPr>
        <w:pStyle w:val="Heading2"/>
      </w:pPr>
      <w:r>
        <w:t>Resistin und Rauchen als Depressionsrisiko: Geschlechtsspezifische Wechselwirkung</w:t>
      </w:r>
    </w:p>
    <w:p>
      <w:r>
        <w:rPr>
          <w:i/>
          <w:color w:val="666666"/>
          <w:sz w:val="18"/>
        </w:rPr>
        <w:t>von Zimmermann C et al.  ·  BMC Psychiatry  ·  29.07.2026  ·  PMID 42552525</w:t>
      </w:r>
    </w:p>
    <w:p>
      <w:r>
        <w:t>Deutsche Querschnittstudie an 379 Personen mit ausgeglichenem Geschlechterverhältnis zur Prüfung, ob Resistin und Rauchen mit Depressionsschwere geschlechtsabhängig assoziiert sind.</w:t>
      </w:r>
    </w:p>
    <w:p>
      <w:r>
        <w:rPr>
          <w:b/>
        </w:rPr>
        <w:t xml:space="preserve">Ergebnis: </w:t>
      </w:r>
      <w:r>
        <w:t>Höhere Resistin-Konzentrationen erhöhten das Depressionsrisiko geschlechts- und rauchabhängig, mit stärkster Wirkung bei rauchenden und Ex-raucherinnen (weibliches Rauchen als stärkster Effektmodifikator). Rauchen und Adipositas sind bei Frauen stärkere Depressionsrisikofaktoren als bei Männern.</w:t>
      </w:r>
    </w:p>
    <w:p>
      <w:r>
        <w:rPr>
          <w:b/>
          <w:sz w:val="19"/>
        </w:rPr>
        <w:t xml:space="preserve">Übertragbarkeit: </w:t>
      </w:r>
      <w:r>
        <w:rPr>
          <w:sz w:val="19"/>
        </w:rPr>
        <w:t>Deutsche Studie, AWMF-Leitlinien zur Depression noch wenig geschlechtsdifferenziert – praktische Signifikanz für Screening und Prävention unklar.</w:t>
      </w:r>
    </w:p>
    <w:p>
      <w:r>
        <w:rPr>
          <w:color w:val="5A7D3A"/>
          <w:sz w:val="18"/>
        </w:rPr>
        <w:t>https://pubmed.ncbi.nlm.nih.gov/42552525/</w:t>
      </w:r>
    </w:p>
    <w:p>
      <w:pPr>
        <w:pStyle w:val="Heading2"/>
      </w:pPr>
      <w:r>
        <w:t>Kopfschmerz in der Notaufnahme: Unterschied in Triage und Diagnostik bei Männern und Frauen</w:t>
      </w:r>
    </w:p>
    <w:p>
      <w:r>
        <w:rPr>
          <w:i/>
          <w:color w:val="666666"/>
          <w:sz w:val="18"/>
        </w:rPr>
        <w:t>Angerhöfer C et al.  ·  Cephalalgia  ·  22.07.2026  ·  PMID 42484557</w:t>
      </w:r>
    </w:p>
    <w:p>
      <w:r>
        <w:t>Berliner Universitätsklinik beobachtete 1.825 Kopfschmerzpatienten (61,9% Frauen) über zwei Jahre, um Unterschiede in Triage-Kategorie, diagnostischen Verfahren und Diagnosen zu dokumentieren.</w:t>
      </w:r>
    </w:p>
    <w:p>
      <w:r>
        <w:rPr>
          <w:b/>
        </w:rPr>
        <w:t xml:space="preserve">Ergebnis: </w:t>
      </w:r>
      <w:r>
        <w:t>Frauen erhielten häufiger Triage-Kategorien mit höherer Dringlichkeit; Männer wiesen jedoch höhere Quote an ernsthaften Sekundärdiagnosen auf (OR 1,54; 95% KI: 1,08–2,19). Männer erhielten seltener cMRT (aOR 0,48; 95% KI: 0,26–0,90). Frauen bekamen häufiger wiederholte Analgetika und Antiemetika. Kein Hinweis auf systematische Verzögerungen der Versorgung.</w:t>
      </w:r>
    </w:p>
    <w:p>
      <w:r>
        <w:rPr>
          <w:b/>
          <w:sz w:val="19"/>
        </w:rPr>
        <w:t xml:space="preserve">Übertragbarkeit: </w:t>
      </w:r>
      <w:r>
        <w:rPr>
          <w:sz w:val="19"/>
        </w:rPr>
        <w:t>Deutsche Primärdaten, Charité-System; Triageverzerrung (Frauen überschätzt, Männer unterschätzt) zeigt Versorgungsungleichheit durch Attribution, nicht biologisch erklärt.</w:t>
      </w:r>
    </w:p>
    <w:p>
      <w:r>
        <w:rPr>
          <w:color w:val="5A7D3A"/>
          <w:sz w:val="18"/>
        </w:rPr>
        <w:t>https://pubmed.ncbi.nlm.nih.gov/42484557/</w:t>
      </w:r>
    </w:p>
    <w:p>
      <w:pPr>
        <w:pStyle w:val="Heading2"/>
      </w:pPr>
      <w:r>
        <w:t>Spondylarthritis: Frauen mit stärkerer Funktionsverschlechterung über 17 Jahre</w:t>
      </w:r>
    </w:p>
    <w:p>
      <w:r>
        <w:rPr>
          <w:i/>
          <w:color w:val="666666"/>
          <w:sz w:val="18"/>
        </w:rPr>
        <w:t>Moldovan DMM et al.  ·  RMD Open  ·  15.07.2026  ·  PMID 42457212</w:t>
      </w:r>
    </w:p>
    <w:p>
      <w:r>
        <w:t>Spanische Longitudinalstudie REGISPON-3 mit 411 Spondylarthritispatienten (2004–2024) zum Vergleich geschlechtsspezifischer funktionaler Verschlechterung und Arbeitsunfähigkeit.</w:t>
      </w:r>
    </w:p>
    <w:p>
      <w:r>
        <w:rPr>
          <w:b/>
        </w:rPr>
        <w:t xml:space="preserve">Ergebnis: </w:t>
      </w:r>
      <w:r>
        <w:t>Nach 17 Jahren: Frauen zeigten signifikant stärkere Funktionsverschlechterung (ΔBASFI 1,47±2,81 vs. 0,38±2,57, p&lt;0,001), während permanente Arbeitsunfähigkeit ähnlich blieb (27,1% vs. 32,1%, p=0,31). Der Zusammenhang zwischen bDMARD-Exposition und Funktionsverschlechterung durch CRP-Vermittlung war bei Männern, nicht bei Frauen signifikant (sex-signifikante Interaktion).</w:t>
      </w:r>
    </w:p>
    <w:p>
      <w:r>
        <w:rPr>
          <w:b/>
          <w:sz w:val="19"/>
        </w:rPr>
        <w:t xml:space="preserve">Übertragbarkeit: </w:t>
      </w:r>
      <w:r>
        <w:rPr>
          <w:sz w:val="19"/>
        </w:rPr>
        <w:t>Südeuropa, ähnliche Sozialversicherung wie Deutschland; Befund deutet auf biologische Geschlechterdifferenz in Entzündungsmodulation hin, nicht auf Zugangsunterschiede.</w:t>
      </w:r>
    </w:p>
    <w:p>
      <w:r>
        <w:rPr>
          <w:color w:val="5A7D3A"/>
          <w:sz w:val="18"/>
        </w:rPr>
        <w:t>https://pubmed.ncbi.nlm.nih.gov/42457212/</w:t>
      </w:r>
    </w:p>
    <w:p>
      <w:pPr>
        <w:pStyle w:val="Heading2"/>
      </w:pPr>
      <w:r>
        <w:t>Krebs in der Schweiz: Frauen berichten schlechtere Versorgungserfahrungen als Männer</w:t>
      </w:r>
    </w:p>
    <w:p>
      <w:r>
        <w:rPr>
          <w:i/>
          <w:color w:val="666666"/>
          <w:sz w:val="18"/>
        </w:rPr>
        <w:t>Pernoud A et al.  ·  BMJ Open  ·  13.07.2026  ·  PMID 42442810</w:t>
      </w:r>
    </w:p>
    <w:p>
      <w:r>
        <w:t>Schweizer Multicenterstudie mit 4.408 Krebspatienten (non-sex-specific cancers) zu geschlechtsspezifischen Unterschieden in Patientenerfahrung über den gesamten Versorgungspfad.</w:t>
      </w:r>
    </w:p>
    <w:p>
      <w:r>
        <w:rPr>
          <w:b/>
        </w:rPr>
        <w:t xml:space="preserve">Ergebnis: </w:t>
      </w:r>
      <w:r>
        <w:t>Frauen bewerteten Gesamtbehandlung niedriger (8,9 vs. 9,1, p&lt;0,001; aOR für hohes Rating 0,74; 95% KI: 0,62–0,87). Frauen berichteten geringere Wahrscheinlichkeit für Therapieplan (aOR 0,69; 95% KI: 0,59–0,82) und unzureichende Information vor Operation (aOR 0,42; 95% KI: 0,27–0,67). Konsistente Muster: Frauen erhielten weniger Kommunikation, Information und Unterstützung; Männer mehr unnötige Testwiederholungen.</w:t>
      </w:r>
    </w:p>
    <w:p>
      <w:r>
        <w:rPr>
          <w:b/>
          <w:sz w:val="19"/>
        </w:rPr>
        <w:t xml:space="preserve">Übertragbarkeit: </w:t>
      </w:r>
      <w:r>
        <w:rPr>
          <w:sz w:val="19"/>
        </w:rPr>
        <w:t>Schweiz, vergleichbare Sozialversicherung wie Deutschland; zeigt systematischen Zugangs- und Kommunikationsunterschied, nicht biologisch bedingt – direkt verbesserbar durch Prozessreform.</w:t>
      </w:r>
    </w:p>
    <w:p>
      <w:r>
        <w:rPr>
          <w:color w:val="5A7D3A"/>
          <w:sz w:val="18"/>
        </w:rPr>
        <w:t>https://pubmed.ncbi.nlm.nih.gov/42442810/</w:t>
      </w:r>
    </w:p>
    <w:p>
      <w:pPr>
        <w:pStyle w:val="Heading2"/>
      </w:pPr>
      <w:r>
        <w:t>Depression in 30 europäischen Ländern: Geschlecht, Migration und Bildung schlagen Depressionsrisiko additiv</w:t>
      </w:r>
    </w:p>
    <w:p>
      <w:r>
        <w:rPr>
          <w:i/>
          <w:color w:val="666666"/>
          <w:sz w:val="18"/>
        </w:rPr>
        <w:t>von dem Knesebeck O et al.  ·  BMC Public Health  ·  10.07.2026  ·  PMID 42432638</w:t>
      </w:r>
    </w:p>
    <w:p>
      <w:r>
        <w:t>Querschnittsanalyse der European Social Survey (Round 11, n=50.116) zu intersektionalen Ungleichheiten in depressiven Symptomen nach Geschlecht, Migrationsstatus und Bildung mittels MAIHDA.</w:t>
      </w:r>
    </w:p>
    <w:p>
      <w:r>
        <w:rPr>
          <w:b/>
        </w:rPr>
        <w:t xml:space="preserve">Ergebnis: </w:t>
      </w:r>
      <w:r>
        <w:t>Frauen und Personen mit niedriger Bildung zeigten signifikant mehr depressive Symptome über alle Länder. Unterschied zwischen höchster (Frauen + Migrationshintergrund + niedrige Bildung: HR 1,34; 95% KI: 1,05–1,71) und niedrigster Risikostrata (Männer + hohe Bildung + kein Migrationshintergrund) war additiv, nicht interaktiv. Geschlecht und Bildung trugen am stärksten bei.</w:t>
      </w:r>
    </w:p>
    <w:p>
      <w:r>
        <w:rPr>
          <w:b/>
          <w:sz w:val="19"/>
        </w:rPr>
        <w:t xml:space="preserve">Übertragbarkeit: </w:t>
      </w:r>
      <w:r>
        <w:rPr>
          <w:sz w:val="19"/>
        </w:rPr>
        <w:t>30 europäische Länder einschließlich Deutschland; Routine-Survey mit Selbstauskünften; zeigt Zugangs- und Attributionsmuster, nicht primär biologische Unterschiede.</w:t>
      </w:r>
    </w:p>
    <w:p>
      <w:r>
        <w:rPr>
          <w:color w:val="5A7D3A"/>
          <w:sz w:val="18"/>
        </w:rPr>
        <w:t>https://pubmed.ncbi.nlm.nih.gov/42432638/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Geschlecht und Gesundheit</dc:title>
  <dc:subject/>
  <dc:creator>Monitor Versorgungsforschung</dc:creator>
  <cp:keywords/>
  <dc:description>generated by python-docx</dc:description>
  <cp:lastModifiedBy/>
  <cp:revision>1</cp:revision>
  <dcterms:created xsi:type="dcterms:W3CDTF">2026-08-31T06:00:00Z</dcterms:created>
  <dcterms:modified xsi:type="dcterms:W3CDTF">2026-08-31T06:00:00Z</dcterms:modified>
  <cp:category/>
</cp:coreProperties>
</file>