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 und Gesundheit</w:t>
      </w:r>
    </w:p>
    <w:p>
      <w:r>
        <w:rPr>
          <w:i/>
          <w:color w:val="666666"/>
          <w:sz w:val="18"/>
        </w:rPr>
        <w:t>Stand: 13.09.2026  |  7 Studien  |  gender.m-vf.de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Lipidsenkung verzögert sich bei Frauen nach chronischem Herzinfarkt deutlich</w:t>
      </w:r>
    </w:p>
    <w:p>
      <w:r>
        <w:rPr>
          <w:i/>
          <w:color w:val="666666"/>
          <w:sz w:val="18"/>
        </w:rPr>
        <w:t>Cederlöf ET et al.  ·  Ups J Med Sci  ·  31.08.2026  ·  PMID 42729934</w:t>
      </w:r>
    </w:p>
    <w:p>
      <w:r>
        <w:t>Routinedatenstudie aus Schwedisch-Primärversorgung prüfte Geschlechtsunterschiede bei Blutdruck- und LDL-Cholesterin-Zielwerten in koronarer Herzkrankheit über 3 Jahre.</w:t>
      </w:r>
    </w:p>
    <w:p>
      <w:r>
        <w:rPr>
          <w:b/>
        </w:rPr>
        <w:t xml:space="preserve">Ergebnis: </w:t>
      </w:r>
      <w:r>
        <w:t>Von 1.452 Patienten (415 Frauen, 1.037 Männer): Frauen initiierten lipidsenkende Therapie verzögert (Hazard Ratio 0,70, KI 0,61–0,80, p&lt;0,001), Therapieanwendung fiel bis Jahr 3 auf 54,1% bei Frauen vs. 73,9% bei Männern (p&lt;0,001). LDL-Ziele bei Jahr 1 erreicht nur 12,1% Frauen vs. 24,7% Männer, Jahr 3 11,2% vs. 15,0%. Untermonitoring von LDL-C besonders bei Frauen evident.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 Primärversorgungsstruktur DACH-Region; geschlechtergetrennte Routinedaten vorhanden.</w:t>
      </w:r>
    </w:p>
    <w:p>
      <w:r>
        <w:rPr>
          <w:color w:val="5A7D3A"/>
          <w:sz w:val="18"/>
        </w:rPr>
        <w:t>https://pubmed.ncbi.nlm.nih.gov/42729934/</w:t>
      </w:r>
    </w:p>
    <w:p>
      <w:pPr>
        <w:pStyle w:val="Heading2"/>
      </w:pPr>
      <w:r>
        <w:t>Genetische Architektur der Muskelkraft zeigt geschlechtsstratifizierte Effekte</w:t>
      </w:r>
    </w:p>
    <w:p>
      <w:r>
        <w:rPr>
          <w:i/>
          <w:color w:val="666666"/>
          <w:sz w:val="18"/>
        </w:rPr>
        <w:t>Mu Y et al.  ·  Biol Sex Differ  ·  25.08.2026  ·  PMID 42702734</w:t>
      </w:r>
    </w:p>
    <w:p>
      <w:r>
        <w:t>Genome-wide association study (GWAS) UK Biobank zu Sarkopenieindex (Kreatinin/Cystatin-C-Ratio) mit kombinierten und geschlechtsstratifizierten Analysen zur Identifizierung biologisch dimorphe Mechanismen.</w:t>
      </w:r>
    </w:p>
    <w:p>
      <w:r>
        <w:rPr>
          <w:b/>
        </w:rPr>
        <w:t xml:space="preserve">Ergebnis: </w:t>
      </w:r>
      <w:r>
        <w:t>774 unabhängige SI-assoziierte Loci gesamt (747 kombiniert, 283 männlich, 311 weiblich); 367 neu. Geschlechtsabhängige Loci rs1145093-chr15q21.1-GATM. 17 male-biased, 11 female-biased Gene priorisiert. Androgen-Rezeptor + GATA4 männlich; ESR1 + MYOD1 weiblich. Inverse genetische Korrelation SI-Herzversagen (rg=-0,19, p=2,3×10⁻⁹) und metabolisches Syndrom (rg=-0,12, p=8,5×10⁻⁸).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biologische Grundlage sarkopenischer Geschlechtsunterschiede; Präzisionsprävention abhängig von Geschlechtsverifikation.</w:t>
      </w:r>
    </w:p>
    <w:p>
      <w:r>
        <w:rPr>
          <w:color w:val="5A7D3A"/>
          <w:sz w:val="18"/>
        </w:rPr>
        <w:t>https://pubmed.ncbi.nlm.nih.gov/42702734/</w:t>
      </w:r>
    </w:p>
    <w:p>
      <w:pPr>
        <w:pStyle w:val="Heading2"/>
      </w:pPr>
      <w:r>
        <w:t>Mobiles Interventionsprogramm zur Reduktion selbstverletzenden Verhaltens bei LGBTQ+-Personen</w:t>
      </w:r>
    </w:p>
    <w:p>
      <w:r>
        <w:rPr>
          <w:i/>
          <w:color w:val="666666"/>
          <w:sz w:val="18"/>
        </w:rPr>
        <w:t>Bresin K et al.  ·  Suicide Life Threat Behav  ·  Okt. 2026  ·  PMID 42698200</w:t>
      </w:r>
    </w:p>
    <w:p>
      <w:r>
        <w:t>Randomisierte Experimentalstudie (n=55) LGBTQ+-Personen mit Selbstverletzungsgedanken/-verhalten: 14 Tage Baseline-EMA, dann Randomisierung zu Brief-Messaging (Zugehörigkeit, Lebenssinn) oder Kontrolle (14 Tage), dann 14 Tage Post-EMA.</w:t>
      </w:r>
    </w:p>
    <w:p>
      <w:r>
        <w:rPr>
          <w:b/>
        </w:rPr>
        <w:t xml:space="preserve">Ergebnis: </w:t>
      </w:r>
      <w:r>
        <w:t>Interventionsgruppe: Selbstverletzungsgedanken und -planung stabil, Selbstverletzungsverhalten, thwarted belongingness und perceived burdensomeness signifikant abnehmend. Kontrollgruppe: Selbstverletzungsgedanken/planung signifikant ansteigend, keine Veränderung bei Verhalten/belongingness/burdensomeness. Effekt unterstützt interpersonale Suizidtheorie.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konzeptueller Ansatz (Zugehörigkeit, Burdenedness) ist international gültig, Implementierung als Mhealth skalierbar.</w:t>
      </w:r>
    </w:p>
    <w:p>
      <w:r>
        <w:rPr>
          <w:color w:val="5A7D3A"/>
          <w:sz w:val="18"/>
        </w:rPr>
        <w:t>https://pubmed.ncbi.nlm.nih.gov/42698200/</w:t>
      </w:r>
    </w:p>
    <w:p>
      <w:pPr>
        <w:pStyle w:val="Heading2"/>
      </w:pPr>
      <w:r>
        <w:t>Geschlechtersensible Palliativversorgung: Schweizer Studienprojekt zu Ungleichheiten am Lebensende</w:t>
      </w:r>
    </w:p>
    <w:p>
      <w:r>
        <w:rPr>
          <w:i/>
          <w:color w:val="666666"/>
          <w:sz w:val="18"/>
        </w:rPr>
        <w:t>Schwind B et al.  ·  BMJ Open  ·  28.06.2026  ·  PMID 42366007</w:t>
      </w:r>
    </w:p>
    <w:p>
      <w:r>
        <w:t>Mixed-Methods-Studienprotokoll untersucht, wie Geschlecht und Diversität Zugang zu und Qualität von Palliativversorgung in der Schweiz systematisch beeinflussen, mit Ethnographie, Netzwerkanalyse und Wissenstransfer.</w:t>
      </w:r>
    </w:p>
    <w:p>
      <w:r>
        <w:rPr>
          <w:b/>
        </w:rPr>
        <w:t xml:space="preserve">Ergebnis: </w:t>
      </w:r>
      <w:r>
        <w:t>Geplant: nationale Befragung von Fachkräften zur Geschlechts- und Diversitätsbewusstheit; Ethnographie in 2 Palliativstationen; Netzwerkmodellierung über Zurich; Ko-Kreation von Evidenz mit Patienten, Angehörigen, Fachkräften und Politik zur Verbesserung Equity-orientierter 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deutschsprachig, vergleichbares Gesundheitssystem; intersektionaler Ansatz direkt auf Versorgungsgerechtigkeit ausgerichtet.</w:t>
      </w:r>
    </w:p>
    <w:p>
      <w:r>
        <w:rPr>
          <w:color w:val="5A7D3A"/>
          <w:sz w:val="18"/>
        </w:rPr>
        <w:t>https://pubmed.ncbi.nlm.nih.gov/42366007/</w:t>
      </w:r>
    </w:p>
    <w:p>
      <w:pPr>
        <w:pStyle w:val="Heading2"/>
      </w:pPr>
      <w:r>
        <w:t>Lebensqualität nach genitalchirurgischer Rekonstruktion bei Mädchen mit kongenitalem Adrenalhyperplasmus</w:t>
      </w:r>
    </w:p>
    <w:p>
      <w:r>
        <w:rPr>
          <w:i/>
          <w:color w:val="666666"/>
          <w:sz w:val="18"/>
        </w:rPr>
        <w:t>Heidtmann F et al.  ·  J Pediatr Urol  ·  30.05.2026  ·  PMID 42275809</w:t>
      </w:r>
    </w:p>
    <w:p>
      <w:r>
        <w:t>Deutsches Zentrum (Jena): Querschnittsumfrage 25 Patientinnen (von 56) nach Genitalchirurgie zwischen 2007–2016 mit validiertem Fragebogen zu Lebensqualität und Geschlechtsidentität.</w:t>
      </w:r>
    </w:p>
    <w:p>
      <w:r>
        <w:rPr>
          <w:b/>
        </w:rPr>
        <w:t xml:space="preserve">Ergebnis: </w:t>
      </w:r>
      <w:r>
        <w:t>Alle 25 Patientinnen: Lebensqualitätsscores vergleichbar mit gesunden Referenzgruppen (Kinder 3–6 J. und Jugendliche normal; Kinder 7–13 J. leicht erhöht). Keiner der 5 Jugendlichen ≥14 Jahre zeigte Geschlechtsdysphorie (UGDS-Scores &lt;40). Alle 14 befragten Familien bevorzugten frühzeitigen Operationszeitpunkt, kein Bedauern geäußert.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Single-Center, kleine Stichprobe; zeigt praktische Langzeitergebnisse chirurgischer Versorgung.</w:t>
      </w:r>
    </w:p>
    <w:p>
      <w:r>
        <w:rPr>
          <w:color w:val="5A7D3A"/>
          <w:sz w:val="18"/>
        </w:rPr>
        <w:t>https://pubmed.ncbi.nlm.nih.gov/42275809/</w:t>
      </w:r>
    </w:p>
    <w:p>
      <w:pPr>
        <w:pStyle w:val="Heading2"/>
      </w:pPr>
      <w:r>
        <w:t>Arbeitslosigkeit und niedriges Einkommen verschärfen Lebensqualität ungleich in sechs Ländern</w:t>
      </w:r>
    </w:p>
    <w:p>
      <w:r>
        <w:rPr>
          <w:i/>
          <w:color w:val="666666"/>
          <w:sz w:val="18"/>
        </w:rPr>
        <w:t>Eijkens J et al.  ·  Qual Life Res  ·  08.06.2026  ·  PMID 42260238</w:t>
      </w:r>
    </w:p>
    <w:p>
      <w:r>
        <w:t>Querschnittstudie März–Juni 2020 (COVID-19): 17.607 Respondenten (18–75 J.) aus China, Italien, Niederlande, Schweden, UK, USA zur Assoziation von Bildung, Einkommen und Erwerbsstatus mit EQ-5D-5L-Lebensqualität.</w:t>
      </w:r>
    </w:p>
    <w:p>
      <w:r>
        <w:rPr>
          <w:b/>
        </w:rPr>
        <w:t xml:space="preserve">Ergebnis: </w:t>
      </w:r>
      <w:r>
        <w:t>In allen Ländern außer Italien: niedrigere Bildung → höhere Health Impairment Level Sum Scores (schlechtere Qualität). UK größter Bildungsabstand. Niedrigeres Einkommen in Niederlande, Schweden, UK, USA mit schlechterer Qualität verknüpft (China/Italien keine Einkommensdifferenz). Arbeitslosigkeit über alle 6 Länder konstant stärkster Prädiktor für schlechtere Qualität.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Schweden, UK - europäische Systeme; vergleichbar mit DACH-Sozialversicherungen, Arbeitsmarktstrukturen.</w:t>
      </w:r>
    </w:p>
    <w:p>
      <w:r>
        <w:rPr>
          <w:color w:val="5A7D3A"/>
          <w:sz w:val="18"/>
        </w:rPr>
        <w:t>https://pubmed.ncbi.nlm.nih.gov/42260238/</w:t>
      </w:r>
    </w:p>
    <w:p>
      <w:pPr>
        <w:pStyle w:val="Heading2"/>
      </w:pPr>
      <w:r>
        <w:t>Langwirksame PrEP in Italien: Awareness, Akzeptanz und ungedeckter Bedarf nach Geschlecht und Sexualität</w:t>
      </w:r>
    </w:p>
    <w:p>
      <w:r>
        <w:rPr>
          <w:i/>
          <w:color w:val="666666"/>
          <w:sz w:val="18"/>
        </w:rPr>
        <w:t>Wang H et al.  ·  HIV Res Clin Pract  ·  31.12.2026  ·  PMID 42186205</w:t>
      </w:r>
    </w:p>
    <w:p>
      <w:r>
        <w:t>Querschnittstudie PROTECT Oktober 2023–April 2024: 2.215 HIV-negative Personen (1.707 MSM, 32 trans*, 267 Cis-Männer, 209 Cis-Frauen) zu oralem/langwirksamem PrEP-Bewusstsein, Anwendung und Intentionen.</w:t>
      </w:r>
    </w:p>
    <w:p>
      <w:r>
        <w:rPr>
          <w:b/>
        </w:rPr>
        <w:t xml:space="preserve">Ergebnis: </w:t>
      </w:r>
      <w:r>
        <w:t>Orale PrEP Anwendung 19,0% gesamt; 19,8% davon suboptimale Adhärenz, 10,0% Abbruch. LA-PrEP-Intention 47,0%. Ungedeckter Präventionsbedarf 34,8% (LA-PrEP könnte adressieren). MSM höchste Engagement (ungedeckter Bedarf in PrEP-naiven und Abbrechern hoch, aber LA-PrEP-Intention niedrig = Mismatch). Cis-Männer niedrigste Engagement. Weniger urbanisierte Gegenden höherer ungedeckter Bedarf.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 europäische Gesundheitssystem und LGBT+-Versorgungslandschaft; zeigt Zugangsbarrieren nach Bevölkerungsgruppe.</w:t>
      </w:r>
    </w:p>
    <w:p>
      <w:r>
        <w:rPr>
          <w:color w:val="5A7D3A"/>
          <w:sz w:val="18"/>
        </w:rPr>
        <w:t>https://pubmed.ncbi.nlm.nih.gov/42186205/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2026-09-13T06:00:00Z</dcterms:created>
  <dcterms:modified xsi:type="dcterms:W3CDTF">2026-09-13T06:00:00Z</dcterms:modified>
  <cp:category/>
</cp:coreProperties>
</file>