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 und Gesundheit</w:t>
      </w:r>
    </w:p>
    <w:p>
      <w:r>
        <w:rPr>
          <w:i/>
          <w:color w:val="666666"/>
          <w:sz w:val="18"/>
        </w:rPr>
        <w:t>Stand: 16.09.2026  |  144 Studien  |  gender.m-vf.de</w:t>
      </w:r>
    </w:p>
    <w:p>
      <w:pPr>
        <w:pStyle w:val="Heading1"/>
      </w:pPr>
      <w:r>
        <w:t>Aufgenommen am 16.09.2026</w:t>
      </w:r>
    </w:p>
    <w:p>
      <w:pPr>
        <w:pStyle w:val="Heading2"/>
      </w:pPr>
      <w:r>
        <w:t>Belohnungsvorhersagefehler und Lernfähigkeit bei Methamphetaminabhängigen: Geschlechtsspezifische Unterschiede</w:t>
      </w:r>
    </w:p>
    <w:p>
      <w:r>
        <w:rPr>
          <w:i/>
          <w:color w:val="666666"/>
          <w:sz w:val="18"/>
        </w:rPr>
        <w:t>Liu Y et al.  ·  Brain Behav  ·  Sept. 2026  ·  PMID 42740507</w:t>
      </w:r>
    </w:p>
    <w:p>
      <w:r>
        <w:t>Experimentelle Studie an 82 Methamphetaminabhängigen (43 Männer, 39 Frauen) und 86 Kontrollpersonen zur Prüfung, ob Reward-Prediction-Error-abhängiges Lernen durch Geschlecht unterschiedlich beeinträchtigt ist.</w:t>
      </w:r>
    </w:p>
    <w:p>
      <w:r>
        <w:rPr>
          <w:b/>
        </w:rPr>
        <w:t xml:space="preserve">Ergebnis: </w:t>
      </w:r>
      <w:r>
        <w:t>Abhängige zeigten niedrigere Lernraten und Erkennungsgenauigkeit als Kontrollpersonen. GLMM-Analysen offenbarten geschlechtsspezifische Muster: Der Moderationseffekt der Gruppe auf die RPE-Lern-Beziehung war bei Frauen signifikant, nicht bei Männern (Interaktion p&lt;0,05). Weibliche Abhängige zeigten reduzierte RPE-Nutzungseffizienz trotz größerer Vorhersagefehler.</w:t>
      </w:r>
    </w:p>
    <w:p>
      <w:r>
        <w:rPr>
          <w:b/>
          <w:sz w:val="19"/>
        </w:rPr>
        <w:t xml:space="preserve">Übertragbarkeit: </w:t>
      </w:r>
      <w:r>
        <w:rPr>
          <w:sz w:val="19"/>
        </w:rPr>
        <w:t>China, Grundlagenforschung mit klinischen Implikationen; Befund zu Suchttherapie übertragbar, Mechanismus bleibt biologisch.</w:t>
      </w:r>
    </w:p>
    <w:p>
      <w:r>
        <w:rPr>
          <w:color w:val="5A7D3A"/>
          <w:sz w:val="18"/>
        </w:rPr>
        <w:t>https://pubmed.ncbi.nlm.nih.gov/42740507/</w:t>
      </w:r>
    </w:p>
    <w:p>
      <w:pPr>
        <w:pStyle w:val="Heading2"/>
      </w:pPr>
      <w:r>
        <w:t>Alters- und geschlechtsspezifische Referenzbereiche für Liquorgesamtprotein</w:t>
      </w:r>
    </w:p>
    <w:p>
      <w:r>
        <w:rPr>
          <w:i/>
          <w:color w:val="666666"/>
          <w:sz w:val="18"/>
        </w:rPr>
        <w:t>Guan YJ et al.  ·  Zhonghua Yu Fang Yi Xue Za Zhi  ·  06.09.2026  ·  PMID 42736153</w:t>
      </w:r>
    </w:p>
    <w:p>
      <w:r>
        <w:t>Retrospektive Querschnittstudie an 6.173 "scheinbar gesunden" Liquorproben zur Etablierung von Referenzbereichen für Gesamtprotein nach Alter und Geschlecht bei Han-Chinesen.</w:t>
      </w:r>
    </w:p>
    <w:p>
      <w:r>
        <w:rPr>
          <w:b/>
        </w:rPr>
        <w:t xml:space="preserve">Ergebnis: </w:t>
      </w:r>
      <w:r>
        <w:t>Liquorprotein stieg mit Alter (r=0,369, p&lt;0,001). Männer (481 mg/L) zeigten signifikant höhere Werte als Frauen (424 mg/L; U=3.664.330, p&lt;0,001). Referenzbereiche stiegen von 170–580 mg/L (18–25 Jahre) auf 250–900 mg/L (&gt;76 Jahre). Innerhalb gleicher Alterskohorten war die Obergrenze bei Männern höher, nur in &gt;76 Jahren leicht bei Frauen höher. Befund ermöglicht geschlechtsgerechte Diagnose von Hirntumoren und Demyelinisierung.</w:t>
      </w:r>
    </w:p>
    <w:p>
      <w:r>
        <w:rPr>
          <w:b/>
          <w:sz w:val="19"/>
        </w:rPr>
        <w:t xml:space="preserve">Übertragbarkeit: </w:t>
      </w:r>
      <w:r>
        <w:rPr>
          <w:sz w:val="19"/>
        </w:rPr>
        <w:t>China, großes Register; Prinzip der geschlechtergetrennten Referenzbereiche auf deutsche Routinelabore übertragbar.</w:t>
      </w:r>
    </w:p>
    <w:p>
      <w:r>
        <w:rPr>
          <w:color w:val="5A7D3A"/>
          <w:sz w:val="18"/>
        </w:rPr>
        <w:t>https://pubmed.ncbi.nlm.nih.gov/42736153/</w:t>
      </w:r>
    </w:p>
    <w:p>
      <w:pPr>
        <w:pStyle w:val="Heading2"/>
      </w:pPr>
      <w:r>
        <w:t>Nierensteine und Bluthochdruck bei Frauen nach der Menopause</w:t>
      </w:r>
    </w:p>
    <w:p>
      <w:r>
        <w:rPr>
          <w:i/>
          <w:color w:val="666666"/>
          <w:sz w:val="18"/>
        </w:rPr>
        <w:t>Javadi MH et al.  ·  Ann Epidemiol  ·  06.08.2026  ·  PMID 42562241</w:t>
      </w:r>
    </w:p>
    <w:p>
      <w:r>
        <w:t>Prospektive Kohortenstudie an 100.562 postmenopausalen Frauen ohne Baseline-Hypertonie zur Frage, ob Urolithiasis mit neu aufgetretenem Bluthochdruck und möglichen Interaktionen mit Entzündung und Lebensstil assoziiert ist.</w:t>
      </w:r>
    </w:p>
    <w:p>
      <w:r>
        <w:rPr>
          <w:b/>
        </w:rPr>
        <w:t xml:space="preserve">Ergebnis: </w:t>
      </w:r>
      <w:r>
        <w:t>Urolithiasis war mit erhöhtem Hypertonie-Risiko assoziiert (bereinigt HR=1,16, 95%-KI: 1,02–1,35; p=0,05). Recidivierende Steine erhöhten das Risiko versus keine Vorgeschichte (HR=1,14; 95%-KI: 1,02–1,28; p=0,03). Körperliche Aktivität modifizierte die Assoziation signifikant (Interaktion p=0,03). Die absolute Risikosteigerung war moderat.</w:t>
      </w:r>
    </w:p>
    <w:p>
      <w:r>
        <w:rPr>
          <w:b/>
          <w:sz w:val="19"/>
        </w:rPr>
        <w:t xml:space="preserve">Übertragbarkeit: </w:t>
      </w:r>
      <w:r>
        <w:rPr>
          <w:sz w:val="19"/>
        </w:rPr>
        <w:t>USA, geschlechtergetrennte Routinedaten; Befund generalisierbar nur für postmenopausale Frauen.</w:t>
      </w:r>
    </w:p>
    <w:p>
      <w:r>
        <w:rPr>
          <w:color w:val="5A7D3A"/>
          <w:sz w:val="18"/>
        </w:rPr>
        <w:t>https://pubmed.ncbi.nlm.nih.gov/42562241/</w:t>
      </w:r>
    </w:p>
    <w:p>
      <w:pPr>
        <w:pStyle w:val="Heading2"/>
      </w:pPr>
      <w:r>
        <w:t>mpox-Ausbruch mit schwerer Proktitis bei Männern mit Sexualkontakten zu Männern, Nordirland 2026</w:t>
      </w:r>
    </w:p>
    <w:p>
      <w:r>
        <w:rPr>
          <w:i/>
          <w:color w:val="666666"/>
          <w:sz w:val="18"/>
        </w:rPr>
        <w:t>Harrison A et al.  ·  Euro Surveill  ·  Juli 2026  ·  PMID 42535291</w:t>
      </w:r>
    </w:p>
    <w:p>
      <w:r>
        <w:t>Deskriptive Surveillance eines Ausbruchs von mpox-Klade-Ib-Fällen zwischen Juni 2026 in Nordirland, charakterisiert durch anoректальe Erkrankung und Präsentation in nicht-spezialisierten klinischen Settings.</w:t>
      </w:r>
    </w:p>
    <w:p>
      <w:r>
        <w:rPr>
          <w:b/>
        </w:rPr>
        <w:t xml:space="preserve">Ergebnis: </w:t>
      </w:r>
      <w:r>
        <w:t>22 bestätigte Fälle bei Männern mit Sexualkontakten zu Männern (Medianalter 41 Jahre); 19 ohne Auslandsreisen 21 Tage vor Symptombeginn. Schwere anoректальe Manifestationen, Präsentation in Allgemeinkrankenhäusern statt Spezialkliniken. Der Befund zeigt unerkannte Transmission in der Bevölkerung.</w:t>
      </w:r>
    </w:p>
    <w:p>
      <w:r>
        <w:rPr>
          <w:b/>
          <w:sz w:val="19"/>
        </w:rPr>
        <w:t xml:space="preserve">Übertragbarkeit: </w:t>
      </w:r>
      <w:r>
        <w:rPr>
          <w:sz w:val="19"/>
        </w:rPr>
        <w:t>Vereinigtes Königreich, vergleichbar mit deutschen Überwachungs- und Klinikstrukturen; zeigt Diagnostiklücke auf Sekundärversorgungsebene.</w:t>
      </w:r>
    </w:p>
    <w:p>
      <w:r>
        <w:rPr>
          <w:color w:val="5A7D3A"/>
          <w:sz w:val="18"/>
        </w:rPr>
        <w:t>https://pubmed.ncbi.nlm.nih.gov/42535291/</w:t>
      </w:r>
    </w:p>
    <w:p>
      <w:pPr>
        <w:pStyle w:val="Heading2"/>
      </w:pPr>
      <w:r>
        <w:t>Rauchen und Alkohol erklären Geschlechterlücke bei Bildungsungleichheit in Lebenserwartung, Europa</w:t>
      </w:r>
    </w:p>
    <w:p>
      <w:r>
        <w:rPr>
          <w:i/>
          <w:color w:val="666666"/>
          <w:sz w:val="18"/>
        </w:rPr>
        <w:t>Janssen F et al.  ·  Ann Epidemiol  ·  03.07.2026  ·  PMID 42398740</w:t>
      </w:r>
    </w:p>
    <w:p>
      <w:r>
        <w:t>Vergleichende Lebenstafelanalyse (England, Wales, Finnland, Turin 1992–2017) zur Frage, wie stark Rauchen, Alkohol und Adipositas die größeren Bildungsungleichheiten in Restlebenserwartung mit 30 Jahren bei Männern erklären.</w:t>
      </w:r>
    </w:p>
    <w:p>
      <w:r>
        <w:rPr>
          <w:b/>
        </w:rPr>
        <w:t xml:space="preserve">Ergebnis: </w:t>
      </w:r>
      <w:r>
        <w:t>Männer hatten durchgehend höhere Bildungsungleichheiten als Frauen. Lebensstil-attribuierbare Mortalität erklärte 57% der Lücke in E&amp;W (1,1 Jahre), 70% in Finnland (2,6 Jahre), 92% in Turin (2,4 Jahre), getrieben durch Rauchen. Alkohol bestimmte Finnlands Trendumkehr 2007. Rauchen und Alkohol waren die dominierenden Treiber, nicht biologische Unterschiede.</w:t>
      </w:r>
    </w:p>
    <w:p>
      <w:r>
        <w:rPr>
          <w:b/>
          <w:sz w:val="19"/>
        </w:rPr>
        <w:t xml:space="preserve">Übertragbarkeit: </w:t>
      </w:r>
      <w:r>
        <w:rPr>
          <w:sz w:val="19"/>
        </w:rPr>
        <w:t>England, Finnland, Italien; europäische Routinedaten mit Parallelen zu deutschen Sterblich keitsdaten; Effekte replizierbar.</w:t>
      </w:r>
    </w:p>
    <w:p>
      <w:r>
        <w:rPr>
          <w:color w:val="5A7D3A"/>
          <w:sz w:val="18"/>
        </w:rPr>
        <w:t>https://pubmed.ncbi.nlm.nih.gov/42398740/</w:t>
      </w:r>
    </w:p>
    <w:p>
      <w:pPr>
        <w:pStyle w:val="Heading2"/>
      </w:pPr>
      <w:r>
        <w:t>Sexuelle Belästigung bei Arbeit: Geschlechts- und Altersmuster nach #MeToo</w:t>
      </w:r>
    </w:p>
    <w:p>
      <w:r>
        <w:rPr>
          <w:i/>
          <w:color w:val="666666"/>
          <w:sz w:val="18"/>
        </w:rPr>
        <w:t>Rosander M et al.  ·  J Child Sex Abus  ·  02.06.2026  ·  PMID 42231644</w:t>
      </w:r>
    </w:p>
    <w:p>
      <w:r>
        <w:t>Bevölkerungsstichprobe von 3.307 Beschäftigten in Schweden (2026) zur Prävalenz und Risikofaktoren von drei Formen sexueller Belästigung nach Geschlecht, Alter und Arbeitssektor.</w:t>
      </w:r>
    </w:p>
    <w:p>
      <w:r>
        <w:rPr>
          <w:b/>
        </w:rPr>
        <w:t xml:space="preserve">Ergebnis: </w:t>
      </w:r>
      <w:r>
        <w:t>Insgesamt 15,6% erlebten mindestens eine Belästigungsform in 6 Monaten. Frauen, besonders junge, waren überrepräsentiert bei unerwünschter sexueller Aufmerksamkeit (keine Unterschiede bei sexualisiertem Verhalten oder Zwang). Frauen im privaten Sektor und Männer im kommunalen Sektor berichteten höhere Exposition. Minoritätsstatus erhöhte Exposition bei beiden Geschlechtern. Gegengeschlechtliche Vorgesetzte waren mit erhöhter Exposition assoziiert, besonders für unerwünschte Aufmerksamkeit.</w:t>
      </w:r>
    </w:p>
    <w:p>
      <w:r>
        <w:rPr>
          <w:b/>
          <w:sz w:val="19"/>
        </w:rPr>
        <w:t xml:space="preserve">Übertragbarkeit: </w:t>
      </w:r>
      <w:r>
        <w:rPr>
          <w:sz w:val="19"/>
        </w:rPr>
        <w:t>Schweden, vergleichbares Arbeitsmarktsystem und Regulatorisches Umfeld; Befund zu Geschlechterdynamiken in Hierarchien generalisierbar.</w:t>
      </w:r>
    </w:p>
    <w:p>
      <w:r>
        <w:rPr>
          <w:color w:val="5A7D3A"/>
          <w:sz w:val="18"/>
        </w:rPr>
        <w:t>https://pubmed.ncbi.nlm.nih.gov/42231644/</w:t>
      </w:r>
    </w:p>
    <w:p>
      <w:pPr>
        <w:pStyle w:val="Heading1"/>
      </w:pPr>
      <w:r>
        <w:t>Aufgenommen am 15.09.2026</w:t>
      </w:r>
    </w:p>
    <w:p>
      <w:pPr>
        <w:pStyle w:val="Heading2"/>
      </w:pPr>
      <w:r>
        <w:t>Diskriminierung verzögert Versorgungssuche bei Transgender-Personen in Pakistan</w:t>
      </w:r>
    </w:p>
    <w:p>
      <w:r>
        <w:rPr>
          <w:i/>
          <w:color w:val="666666"/>
          <w:sz w:val="18"/>
        </w:rPr>
        <w:t>Memon A et al.  ·  East Mediterr Health J  ·  03.09.2026  ·  PMID 42734200</w:t>
      </w:r>
    </w:p>
    <w:p>
      <w:r>
        <w:t>Querschnittstudie mit 360 Transgender-Personen in Karachi zur Vorhersage von Behandlungsabsicht und Verzögerungen bei der Versorgungssuche.</w:t>
      </w:r>
    </w:p>
    <w:p>
      <w:r>
        <w:rPr>
          <w:b/>
        </w:rPr>
        <w:t xml:space="preserve">Ergebnis: </w:t>
      </w:r>
      <w:r>
        <w:t>Diskriminierung (B = −0,94, p &lt; 0,01) senkte die Absicht, Versorgung zu suchen; wahrgenommene Anbieter-Kompetenz erhöhte sie (B = 0,35, p = 0,03). Diskriminierung erhöhte Verzögerungen (OR = 3,77, p = 0,013). Älteres Alter, höhere Bildung und Diskriminierung beschleunigten Verzögerungen; häufigere Besuche und wahrgenommene Anbieter-Kompetenz verkürzten sie.</w:t>
      </w:r>
    </w:p>
    <w:p>
      <w:r>
        <w:rPr>
          <w:b/>
          <w:sz w:val="19"/>
        </w:rPr>
        <w:t xml:space="preserve">Übertragbarkeit: </w:t>
      </w:r>
      <w:r>
        <w:rPr>
          <w:sz w:val="19"/>
        </w:rPr>
        <w:t>Außereuropäischer Kontext mit extremerer Diskriminierung, Befunde zur Zugangsbarriere aber übertragbar</w:t>
      </w:r>
    </w:p>
    <w:p>
      <w:r>
        <w:rPr>
          <w:color w:val="5A7D3A"/>
          <w:sz w:val="18"/>
        </w:rPr>
        <w:t>https://pubmed.ncbi.nlm.nih.gov/42734200/</w:t>
      </w:r>
    </w:p>
    <w:p>
      <w:pPr>
        <w:pStyle w:val="Heading2"/>
      </w:pPr>
      <w:r>
        <w:t>Ökonomische Systeme prägen Frauengesundheit – Perspektiven australischer Frauen</w:t>
      </w:r>
    </w:p>
    <w:p>
      <w:r>
        <w:rPr>
          <w:i/>
          <w:color w:val="666666"/>
          <w:sz w:val="18"/>
        </w:rPr>
        <w:t>McCarthy S et al.  ·  Health Promot Int  ·  01.09.2026  ·  PMID 42725912</w:t>
      </w:r>
    </w:p>
    <w:p>
      <w:r>
        <w:t>Qualitative Online-Umfrage mit 506 australischen Frauen (≥18 Jahre) zu Wahrnehmungen ökonomischer und kommerzieller Einflüsse auf Frauengesundheit und Geschlechterungerechtigkeit.</w:t>
      </w:r>
    </w:p>
    <w:p>
      <w:r>
        <w:rPr>
          <w:b/>
        </w:rPr>
        <w:t xml:space="preserve">Ergebnis: </w:t>
      </w:r>
      <w:r>
        <w:t>Vier Themen: finanzielle Barrieren zu essentiellen Gütern und Gesundheitsdiensten; Arbeitsplatzpraktiken (unsichere Beschäftigung, Inflexibilität, Diskriminierung) verschlechtern Gesundheit; Gewinnnatur von Industrien gefährdet Gesundheit; Forderung nach stärkerer Regulierung, betrieblichem Schutz und gerechterem Zugang. Frauen benannten strukturelle Treiber von Ungleichheit.</w:t>
      </w:r>
    </w:p>
    <w:p>
      <w:r>
        <w:rPr>
          <w:b/>
          <w:sz w:val="19"/>
        </w:rPr>
        <w:t xml:space="preserve">Übertragbarkeit: </w:t>
      </w:r>
      <w:r>
        <w:rPr>
          <w:sz w:val="19"/>
        </w:rPr>
        <w:t>Australien vergleichbar mit Deutschland in Versicherungssystem, zeigt sozioökonomische Determinanten</w:t>
      </w:r>
    </w:p>
    <w:p>
      <w:r>
        <w:rPr>
          <w:color w:val="5A7D3A"/>
          <w:sz w:val="18"/>
        </w:rPr>
        <w:t>https://pubmed.ncbi.nlm.nih.gov/42725912/</w:t>
      </w:r>
    </w:p>
    <w:p>
      <w:pPr>
        <w:pStyle w:val="Heading2"/>
      </w:pPr>
      <w:r>
        <w:t>Hypertensive Schwangerschaftsstörungen bei Indigenous-Frauen in den USA</w:t>
      </w:r>
    </w:p>
    <w:p>
      <w:r>
        <w:rPr>
          <w:i/>
          <w:color w:val="666666"/>
          <w:sz w:val="18"/>
        </w:rPr>
        <w:t>Vu TT et al.  ·  Curr Hypertens Rep  ·  04.09.2026  ·  PMID 42696076</w:t>
      </w:r>
    </w:p>
    <w:p>
      <w:r>
        <w:t>Narrativ-Review zu Determinanten hypertensiver Schwangerschaftsstörungen (HDP) bei American Indian/Alaska Native (AI/AN) Frauen und langfristigen Kardiovaskulär-Folgen.</w:t>
      </w:r>
    </w:p>
    <w:p>
      <w:r>
        <w:rPr>
          <w:b/>
        </w:rPr>
        <w:t xml:space="preserve">Ergebnis: </w:t>
      </w:r>
      <w:r>
        <w:t>AI/AN-Frauen zeigen höchste HDP-Prävalenz (9,1 %) aller Rassen/Ethnien, schwere mütterliche Morbidität 1,6× höher als weiße Frauen. Strukturelle Determinanten: Kolonialismus-Erbe, Rassenmisklassifikation, Daten-Souveränitätsverletzungen, unterbrochene traditionelle Geburtsweisen. Qualitativ belegt: Diskriminierung, kulturelle Geringschätzung, Anbieter-Bias. 2× erhöhtes kardiovaskuläres Risiko post-partum, aber Barrieren zu Follow-up und Screening.</w:t>
      </w:r>
    </w:p>
    <w:p>
      <w:r>
        <w:rPr>
          <w:b/>
          <w:sz w:val="19"/>
        </w:rPr>
        <w:t xml:space="preserve">Übertragbarkeit: </w:t>
      </w:r>
      <w:r>
        <w:rPr>
          <w:sz w:val="19"/>
        </w:rPr>
        <w:t>USA-Setting mit strukturellem Rassismus, aber Befunde zur Versorgungsbarriere und fehlenden Prävention relevant</w:t>
      </w:r>
    </w:p>
    <w:p>
      <w:r>
        <w:rPr>
          <w:color w:val="5A7D3A"/>
          <w:sz w:val="18"/>
        </w:rPr>
        <w:t>https://pubmed.ncbi.nlm.nih.gov/42696076/</w:t>
      </w:r>
    </w:p>
    <w:p>
      <w:pPr>
        <w:pStyle w:val="Heading2"/>
      </w:pPr>
      <w:r>
        <w:t>Psychische Gesundheit und Versorgungszugang bei sexuellen Minderheiten-Jugendlichen in Israel</w:t>
      </w:r>
    </w:p>
    <w:p>
      <w:r>
        <w:rPr>
          <w:i/>
          <w:color w:val="666666"/>
          <w:sz w:val="18"/>
        </w:rPr>
        <w:t>Gewirtz-Meydan A et al.  ·  Isr J Health Policy Res  ·  04.09.2026  ·  PMID 42693470</w:t>
      </w:r>
    </w:p>
    <w:p>
      <w:r>
        <w:t>Latent-Profile-Analyse bei 1.129 israelischen Jugendlichen (30 % sexuelle Minderheiten, Alter 16–18 Jahre) zur Identifikation psychischer Risikoprofile und Barrieren zur Hilfesuche.</w:t>
      </w:r>
    </w:p>
    <w:p>
      <w:r>
        <w:rPr>
          <w:b/>
        </w:rPr>
        <w:t xml:space="preserve">Ergebnis: </w:t>
      </w:r>
      <w:r>
        <w:t>Vier Profile identifiziert: unauffällig, emotionale Probleme/Suizidalität, Tabak-/E-Zigaretten-User, Cannabis-User. Sexuelle Minderheiten berichteten mehr Barrieren (identitätsbezogen, strukturell, emotional) und niedrigere Hilfeabsicht. Sexuelle Orientierung moderierte diese Assoziation: schwächere Hilfeabsicht bei sexuellen Minderheiten unter Tabak-/E-Zigaretten-Usern, stärker bei Cannabis-Usern.</w:t>
      </w:r>
    </w:p>
    <w:p>
      <w:r>
        <w:rPr>
          <w:b/>
          <w:sz w:val="19"/>
        </w:rPr>
        <w:t xml:space="preserve">Übertragbarkeit: </w:t>
      </w:r>
      <w:r>
        <w:rPr>
          <w:sz w:val="19"/>
        </w:rPr>
        <w:t>Israel vergleichbar mit europäischem Versorgungssystem, zeigt Intersektionalität als Versorgungshürde</w:t>
      </w:r>
    </w:p>
    <w:p>
      <w:r>
        <w:rPr>
          <w:color w:val="5A7D3A"/>
          <w:sz w:val="18"/>
        </w:rPr>
        <w:t>https://pubmed.ncbi.nlm.nih.gov/42693470/</w:t>
      </w:r>
    </w:p>
    <w:p>
      <w:pPr>
        <w:pStyle w:val="Heading2"/>
      </w:pPr>
      <w:r>
        <w:t>Fortpflanzungsmedizin: Welche Körper gelten als anerkannte Eltern?</w:t>
      </w:r>
    </w:p>
    <w:p>
      <w:r>
        <w:rPr>
          <w:i/>
          <w:color w:val="666666"/>
          <w:sz w:val="18"/>
        </w:rPr>
        <w:t>Jørgensen TS  ·  Sociol Health Illn  ·  Juli 2026  ·  PMID 42472460</w:t>
      </w:r>
    </w:p>
    <w:p>
      <w:r>
        <w:t>Qualitative Studie mit 25 Interviews zu Transgender-, nicht-binären und schwulen Personen, die Fertilitätsbehandlung in Dänemark nutzten und wie institutionelle Erwartungen ihren Zugang regulieren.</w:t>
      </w:r>
    </w:p>
    <w:p>
      <w:r>
        <w:rPr>
          <w:b/>
        </w:rPr>
        <w:t xml:space="preserve">Ergebnis: </w:t>
      </w:r>
      <w:r>
        <w:t>Reproduktive Governance durch Gesundheitsinstitutionen erzeugt Rahmen von Anerkennung, die bestimmte Körper und Familienstrukturen als legitim definieren. Queer People adoptierten Praktiken der Sichtbarkeit oder Anpassung an heteronormative Ideale, um Zugang zu Fertilitätsbehandlung zu erlangen; diese Fähigkeit war ungleich in der Queer-Community verteilt.</w:t>
      </w:r>
    </w:p>
    <w:p>
      <w:r>
        <w:rPr>
          <w:b/>
          <w:sz w:val="19"/>
        </w:rPr>
        <w:t xml:space="preserve">Übertragbarkeit: </w:t>
      </w:r>
      <w:r>
        <w:rPr>
          <w:sz w:val="19"/>
        </w:rPr>
        <w:t>Dänemark ähnelt deutschem Sozialversicherungssystem, zeigt Zugangsbarrieren als Versorgungsproblem</w:t>
      </w:r>
    </w:p>
    <w:p>
      <w:r>
        <w:rPr>
          <w:color w:val="5A7D3A"/>
          <w:sz w:val="18"/>
        </w:rPr>
        <w:t>https://pubmed.ncbi.nlm.nih.gov/42472460/</w:t>
      </w:r>
    </w:p>
    <w:p>
      <w:pPr>
        <w:pStyle w:val="Heading2"/>
      </w:pPr>
      <w:r>
        <w:t>Hitzeexposition und Schwangerengesundheit in ländlichem Ghana: Versuchsprotokoll</w:t>
      </w:r>
    </w:p>
    <w:p>
      <w:r>
        <w:rPr>
          <w:i/>
          <w:color w:val="666666"/>
          <w:sz w:val="18"/>
        </w:rPr>
        <w:t>Zimmer RS et al.  ·  BMC Public Health  ·  06.07.2026  ·  PMID 42410409</w:t>
      </w:r>
    </w:p>
    <w:p>
      <w:r>
        <w:t>Studienprotokoll für randomisierte Clusterprobe zur Untersuchung physiologischer Effekte von Umwelthitze auf schwangere Frauen in Nord-Ghana und Wirksamkeit von Wärmeanpassungsstrategien.</w:t>
      </w:r>
    </w:p>
    <w:p>
      <w:r>
        <w:rPr>
          <w:b/>
        </w:rPr>
        <w:t xml:space="preserve">Ergebnis: </w:t>
      </w:r>
      <w:r>
        <w:t>Geplante Messung: Wärmebelastung durch hochauflösende Umgebungsüberwachung, mütterliche Physiologie via tragbare Sensoren (Herzfrequenz, Körpertemperatur), fötale Gesundheitsindikatoren (fötale Herzfrequenz, Doppler). Interventionsevaluation mit statistischen Analysen zur geschlechtsspezifischen Reaktion geplant; Ergebnisse noch ausstehend.</w:t>
      </w:r>
    </w:p>
    <w:p>
      <w:r>
        <w:rPr>
          <w:b/>
          <w:sz w:val="19"/>
        </w:rPr>
        <w:t xml:space="preserve">Übertragbarkeit: </w:t>
      </w:r>
      <w:r>
        <w:rPr>
          <w:sz w:val="19"/>
        </w:rPr>
        <w:t>Niedrig-Ressourcen-Setting, aber Hitze-Geschlechter-Effekt biologisch grundlegend und klimarelevant</w:t>
      </w:r>
    </w:p>
    <w:p>
      <w:r>
        <w:rPr>
          <w:color w:val="5A7D3A"/>
          <w:sz w:val="18"/>
        </w:rPr>
        <w:t>https://pubmed.ncbi.nlm.nih.gov/42410409/</w:t>
      </w:r>
    </w:p>
    <w:p>
      <w:pPr>
        <w:pStyle w:val="Heading1"/>
      </w:pPr>
      <w:r>
        <w:t>Aufgenommen am 14.09.2026</w:t>
      </w:r>
    </w:p>
    <w:p>
      <w:pPr>
        <w:pStyle w:val="Heading2"/>
      </w:pPr>
      <w:r>
        <w:t>Symptomnetze bei Depression und Angst unterscheiden sich geschlechtsspezifisch unter Stress</w:t>
      </w:r>
    </w:p>
    <w:p>
      <w:r>
        <w:rPr>
          <w:i/>
          <w:color w:val="666666"/>
          <w:sz w:val="18"/>
        </w:rPr>
        <w:t>Hu J et al.  ·  Depress Anxiety  ·  12.09.2026  ·  PMID 42732257</w:t>
      </w:r>
    </w:p>
    <w:p>
      <w:r>
        <w:t>Querschnittsstudie zu Geschlechtsunterschieden in Symptomvernetzungen von Depression, Angst und komorbiden Symptomen (PTSD, Schlaflosigkeit) bei 1.191 Erwachsenen unter akutem psychischem Stress.</w:t>
      </w:r>
    </w:p>
    <w:p>
      <w:r>
        <w:rPr>
          <w:b/>
        </w:rPr>
        <w:t xml:space="preserve">Ergebnis: </w:t>
      </w:r>
      <w:r>
        <w:t>Bei Frauen waren Angst und Intrusion die zentralsten Symptomknoten, bei Männern Depression. Frauen zeigten signifikant höhere Gesamtkonkektivität im Netzwerk und eine komplexere Architektur mit mehr gerichteten Verbindungen zwischen Symptomen (18% erklärte Varianz für Kortikaler Thinning, 32% für Amygdala-Volumen). Diese Unterschiede deuten auf Ansatzpunkte für geschlechtssensible psychologische Erste Hilfe hin.</w:t>
      </w:r>
    </w:p>
    <w:p>
      <w:r>
        <w:rPr>
          <w:b/>
          <w:sz w:val="19"/>
        </w:rPr>
        <w:t xml:space="preserve">Übertragbarkeit: </w:t>
      </w:r>
      <w:r>
        <w:rPr>
          <w:sz w:val="19"/>
        </w:rPr>
        <w:t>Deutschland – Querschnittsstudie, direkt auf Stressintervention übertragbar.</w:t>
      </w:r>
    </w:p>
    <w:p>
      <w:r>
        <w:rPr>
          <w:color w:val="5A7D3A"/>
          <w:sz w:val="18"/>
        </w:rPr>
        <w:t>https://pubmed.ncbi.nlm.nih.gov/42732257/</w:t>
      </w:r>
    </w:p>
    <w:p>
      <w:pPr>
        <w:pStyle w:val="Heading2"/>
      </w:pPr>
      <w:r>
        <w:t>TB-Last bei Männern höher – Verhaltens- und Kontaktmuster erklären mehr als Biologie</w:t>
      </w:r>
    </w:p>
    <w:p>
      <w:r>
        <w:rPr>
          <w:i/>
          <w:color w:val="666666"/>
          <w:sz w:val="18"/>
        </w:rPr>
        <w:t>Doran JWG et al.  ·  Bull Math Biol  ·  10.09.2026  ·  PMID 42722918</w:t>
      </w:r>
    </w:p>
    <w:p>
      <w:r>
        <w:t>Agent-Based-Modelling zu Geschlechts-/Genderunterschieden in TB-Übertragung in Kampala, Uganda; Counterfactual-Szenarien zur Ermittlung der wichtigsten populationsweiten Faktoren für die 62,5%-zu-37,5%-Männer-zu-Frauen-Fallquote.</w:t>
      </w:r>
    </w:p>
    <w:p>
      <w:r>
        <w:rPr>
          <w:b/>
        </w:rPr>
        <w:t xml:space="preserve">Ergebnis: </w:t>
      </w:r>
      <w:r>
        <w:t>In-Host-Parameter hatten größten Gesamteffekt, aber Verhaltens- und Kontaktmuster (assortatives Mixing, genderspezifische Kontakte) erklärten das erhöhte Männer-zu-Frauen-Verhältnis stärker. Super-Spreader verursachten Mehrheit der Infektionen; Männer und cavitäre TB-Träger infizieren im Durchschnitt mehr Personen. Modell zeigt Proof-of-Concept für geschlechtssensible TB-Interventionen.</w:t>
      </w:r>
    </w:p>
    <w:p>
      <w:r>
        <w:rPr>
          <w:b/>
          <w:sz w:val="19"/>
        </w:rPr>
        <w:t xml:space="preserve">Übertragbarkeit: </w:t>
      </w:r>
      <w:r>
        <w:rPr>
          <w:sz w:val="19"/>
        </w:rPr>
        <w:t>Uganda, Süd-Subsahara-Afrika – zeigt Zugang und Verhalten als biologische Faktoren überlagern; Mechanismus ist übertragbar auf ähnliche Hochlast-Settings.</w:t>
      </w:r>
    </w:p>
    <w:p>
      <w:r>
        <w:rPr>
          <w:color w:val="5A7D3A"/>
          <w:sz w:val="18"/>
        </w:rPr>
        <w:t>https://pubmed.ncbi.nlm.nih.gov/42722918/</w:t>
      </w:r>
    </w:p>
    <w:p>
      <w:pPr>
        <w:pStyle w:val="Heading2"/>
      </w:pPr>
      <w:r>
        <w:t>Frauen erkennen Emotionen und soziale Signale besser – auch bei sozialen Funktionsstörungen</w:t>
      </w:r>
    </w:p>
    <w:p>
      <w:r>
        <w:rPr>
          <w:i/>
          <w:color w:val="666666"/>
          <w:sz w:val="18"/>
        </w:rPr>
        <w:t>Kemp KC et al.  ·  PLoS One  ·  10.09.2026  ·  PMID 42721142</w:t>
      </w:r>
    </w:p>
    <w:p>
      <w:r>
        <w:t>Querschnittstudie (n=212, 58,5% weiblich, Alter 14-30 Jahre) zu Geschlechtsunterschieden in Blickwahrnehmung, Theory of Mind und sozialer Inferenz bei Adoleszenten und jungen Erwachsenen mit variablem Ausmaß an sozialer Dysfunktion.</w:t>
      </w:r>
    </w:p>
    <w:p>
      <w:r>
        <w:rPr>
          <w:b/>
        </w:rPr>
        <w:t xml:space="preserve">Ergebnis: </w:t>
      </w:r>
      <w:r>
        <w:t>Frauen schnitten signifikant besser bei Theory-of-Mind-, sozialer Inferenz- und Blickwahrnehmungsaufgaben ab; Unterschiede blieben nach Adjustment für allgemeine Kognition, Alter und Psychopathologie bestehen. Ausnahme: komplexe, dynamische soziale Inferenzaufgabe – keine Unterschiede nach Adjustment für Psychopathologie. Frauen könnten allgemein empfindlicher für augen- und faciale Signale sein.</w:t>
      </w:r>
    </w:p>
    <w:p>
      <w:r>
        <w:rPr>
          <w:b/>
          <w:sz w:val="19"/>
        </w:rPr>
        <w:t xml:space="preserve">Übertragbarkeit: </w:t>
      </w:r>
      <w:r>
        <w:rPr>
          <w:sz w:val="19"/>
        </w:rPr>
        <w:t>USA – auch bei Psychopathologie replizierbar; Mechanismus (Signaldetektion) nicht an System gebunden.</w:t>
      </w:r>
    </w:p>
    <w:p>
      <w:r>
        <w:rPr>
          <w:color w:val="5A7D3A"/>
          <w:sz w:val="18"/>
        </w:rPr>
        <w:t>https://pubmed.ncbi.nlm.nih.gov/42721142/</w:t>
      </w:r>
    </w:p>
    <w:p>
      <w:pPr>
        <w:pStyle w:val="Heading2"/>
      </w:pPr>
      <w:r>
        <w:t>Männer in der Pflege: Verschieben sich Geschlechternormen oder verstärken sie sich?</w:t>
      </w:r>
    </w:p>
    <w:p>
      <w:r>
        <w:rPr>
          <w:i/>
          <w:color w:val="666666"/>
          <w:sz w:val="18"/>
        </w:rPr>
        <w:t>Aydin F et al.  ·  Int Nurs Rev  ·  Sept. 2026  ·  PMID 42695756</w:t>
      </w:r>
    </w:p>
    <w:p>
      <w:r>
        <w:t>Qualitative Explorationsstudie mit 40 semi-strukturierten Interviews (5 Pfleger, 5 Pflegerinnen, 10 Ärzte, 10 Patienten/Angehörige) in der Türkei zur Untersuchung, wie Männer in einem Frauenberuf die Berufsidentität Pflege reshape – Hybrid-Thematic-Analysis nach Braun &amp; Clarke.</w:t>
      </w:r>
    </w:p>
    <w:p>
      <w:r>
        <w:rPr>
          <w:b/>
        </w:rPr>
        <w:t xml:space="preserve">Ergebnis: </w:t>
      </w:r>
      <w:r>
        <w:t>Vier Themes: Männer wurden durch physische Kraft, Ruhe und Schutz positioniert, Frauen durch emotionale/mütterliche Attribute. Männer wurden aus Geburtshilfe, Gynäkologie, Neonatologie ausgeschlossen (Datenschutz). Patienten und Ärzte definierten Pflegekompetenz durch unterschiedliche genderte Kriterien. Gender-Essentialismus wurde in ‚hybrider' Form reproduziert; Status-Gewinne scheinen an maskulinisierte Attribute statt Neubewerung von Care gebunden. Nur männliche Repräsentation ändert nicht Strukturgleichheit.</w:t>
      </w:r>
    </w:p>
    <w:p>
      <w:r>
        <w:rPr>
          <w:b/>
          <w:sz w:val="19"/>
        </w:rPr>
        <w:t xml:space="preserve">Übertragbarkeit: </w:t>
      </w:r>
      <w:r>
        <w:rPr>
          <w:sz w:val="19"/>
        </w:rPr>
        <w:t>Türkei – Kontext mit starken Geschlechternormen; Erkenntnis zu Geschlecht als Organisationsprinzipium überträgt auf alle Länder.</w:t>
      </w:r>
    </w:p>
    <w:p>
      <w:r>
        <w:rPr>
          <w:color w:val="5A7D3A"/>
          <w:sz w:val="18"/>
        </w:rPr>
        <w:t>https://pubmed.ncbi.nlm.nih.gov/42695756/</w:t>
      </w:r>
    </w:p>
    <w:p>
      <w:pPr>
        <w:pStyle w:val="Heading2"/>
      </w:pPr>
      <w:r>
        <w:t>Gesundheitsverhalten erklärt mehr Ungleichheit als Sozioökonomie – Längsschnitt-Daten aus Norwegen</w:t>
      </w:r>
    </w:p>
    <w:p>
      <w:r>
        <w:rPr>
          <w:i/>
          <w:color w:val="666666"/>
          <w:sz w:val="18"/>
        </w:rPr>
        <w:t>Olsen JA et al.  ·  Qual Life Res  ·  28.06.2026  ·  PMID 42365548</w:t>
      </w:r>
    </w:p>
    <w:p>
      <w:r>
        <w:t>Längsschnittstudie (11.313 Erwachsene, 25-54 Jahre zu Baseline, 21 Jahre Follow-up) zur Erklärung von Ungleichheiten in Lebensqualität durch Shapley-Value-Zerlegung von sozioökonomischen und Verhaltensrisiken.</w:t>
      </w:r>
    </w:p>
    <w:p>
      <w:r>
        <w:rPr>
          <w:b/>
        </w:rPr>
        <w:t xml:space="preserve">Ergebnis: </w:t>
      </w:r>
      <w:r>
        <w:t>Gesundheitsverhalten (Rauchen, körperliche Aktivität, Adipositas) erklärte 80% der Varianz in EQ-5D-5L-Werten, 75% in EQ-VAS und 67% in selbsteingeschätzter Gesundheit – deutlich mehr als drei Sozioökonomie-Indikatoren. Nach Adjustment für Baseline-Gesundheit stieg die Relevanz von Verhalten leicht an. Beide Interventionstypen könnten Ungleichheiten reduzieren.</w:t>
      </w:r>
    </w:p>
    <w:p>
      <w:r>
        <w:rPr>
          <w:b/>
          <w:sz w:val="19"/>
        </w:rPr>
        <w:t xml:space="preserve">Übertragbarkeit: </w:t>
      </w:r>
      <w:r>
        <w:rPr>
          <w:sz w:val="19"/>
        </w:rPr>
        <w:t>Norwegen, Tromsø-Studie – skandinavisches Versicherungssystem, vergleichbar mit Deutschland.</w:t>
      </w:r>
    </w:p>
    <w:p>
      <w:r>
        <w:rPr>
          <w:color w:val="5A7D3A"/>
          <w:sz w:val="18"/>
        </w:rPr>
        <w:t>https://pubmed.ncbi.nlm.nih.gov/42365548/</w:t>
      </w:r>
    </w:p>
    <w:p>
      <w:pPr>
        <w:pStyle w:val="Heading2"/>
      </w:pPr>
      <w:r>
        <w:t>Kindliches Trauma hinterlässt unterschiedliche Hirnveränderungen bei Frauen und Männern</w:t>
      </w:r>
    </w:p>
    <w:p>
      <w:r>
        <w:rPr>
          <w:i/>
          <w:color w:val="666666"/>
          <w:sz w:val="18"/>
        </w:rPr>
        <w:t>Huth F et al.  ·  Eur Neuropsychopharmacol  ·  09.06.2026  ·  PMID 42263356</w:t>
      </w:r>
    </w:p>
    <w:p>
      <w:r>
        <w:t>Transdiagnostische Studie (n=251, 51,8% männlich, Durchschnittsalter 24,9 Jahre) zur Untersuchung geschlechtsspezifischer Hirnstruktur-Signaturen bei frühen affektiven/Angststörungen nach Kindheitstraumatisierung mittels multivariater Sparse-PLS.</w:t>
      </w:r>
    </w:p>
    <w:p>
      <w:r>
        <w:rPr>
          <w:b/>
        </w:rPr>
        <w:t xml:space="preserve">Ergebnis: </w:t>
      </w:r>
      <w:r>
        <w:t>Physische Misshandlung in der Kindheit korrelierte mit ausgebreiteter Kortikalschwund-Signatur (ρ=0,424, p=0,007, R²=18%), emotionale Misshandlung bei Frauen spezifisch mit kleineren linken Amygdala-Kernen (ρ=0,566, p=0,014, R²=32%). Bei Frauen sagte emotionale Misshandlung schlechtere Funktionalität nach 1-2 Jahren voraus (β=-0,45/-0,48, p&lt;0,001), während kleinere Amygdala-Kerne paradox bessere 2-Jahres-Outcomes vorhersagten – möglicherweise reflexiv adaptive Verarbeitung.</w:t>
      </w:r>
    </w:p>
    <w:p>
      <w:r>
        <w:rPr>
          <w:b/>
          <w:sz w:val="19"/>
        </w:rPr>
        <w:t xml:space="preserve">Übertragbarkeit: </w:t>
      </w:r>
      <w:r>
        <w:rPr>
          <w:sz w:val="19"/>
        </w:rPr>
        <w:t>Deutschland – deutsches Klinikenzentrum (Dresden, Berlin, München), vergleichbare EU-Standards.</w:t>
      </w:r>
    </w:p>
    <w:p>
      <w:r>
        <w:rPr>
          <w:color w:val="5A7D3A"/>
          <w:sz w:val="18"/>
        </w:rPr>
        <w:t>https://pubmed.ncbi.nlm.nih.gov/42263356/</w:t>
      </w:r>
    </w:p>
    <w:p>
      <w:pPr>
        <w:pStyle w:val="Heading1"/>
      </w:pPr>
      <w:r>
        <w:t>Aufgenommen am 13.09.2026</w:t>
      </w:r>
    </w:p>
    <w:p>
      <w:pPr>
        <w:pStyle w:val="Heading2"/>
      </w:pPr>
      <w:r>
        <w:t>Lipidsenkung verzögert sich bei Frauen nach chronischem Herzinfarkt deutlich</w:t>
      </w:r>
    </w:p>
    <w:p>
      <w:r>
        <w:rPr>
          <w:i/>
          <w:color w:val="666666"/>
          <w:sz w:val="18"/>
        </w:rPr>
        <w:t>Cederlöf ET et al.  ·  Ups J Med Sci  ·  31.08.2026  ·  PMID 42729934</w:t>
      </w:r>
    </w:p>
    <w:p>
      <w:r>
        <w:t>Routinedatenstudie aus Schwedisch-Primärversorgung prüfte Geschlechtsunterschiede bei Blutdruck- und LDL-Cholesterin-Zielwerten in koronarer Herzkrankheit über 3 Jahre.</w:t>
      </w:r>
    </w:p>
    <w:p>
      <w:r>
        <w:rPr>
          <w:b/>
        </w:rPr>
        <w:t xml:space="preserve">Ergebnis: </w:t>
      </w:r>
      <w:r>
        <w:t>Von 1.452 Patienten (415 Frauen, 1.037 Männer): Frauen initiierten lipidsenkende Therapie verzögert (Hazard Ratio 0,70, KI 0,61–0,80, p&lt;0,001), Therapieanwendung fiel bis Jahr 3 auf 54,1% bei Frauen vs. 73,9% bei Männern (p&lt;0,001). LDL-Ziele bei Jahr 1 erreicht nur 12,1% Frauen vs. 24,7% Männer, Jahr 3 11,2% vs. 15,0%. Untermonitoring von LDL-C besonders bei Frauen evident.</w:t>
      </w:r>
    </w:p>
    <w:p>
      <w:r>
        <w:rPr>
          <w:b/>
          <w:sz w:val="19"/>
        </w:rPr>
        <w:t xml:space="preserve">Übertragbarkeit: </w:t>
      </w:r>
      <w:r>
        <w:rPr>
          <w:sz w:val="19"/>
        </w:rPr>
        <w:t>Schweden, vergleichbare Primärversorgungsstruktur DACH-Region; geschlechtergetrennte Routinedaten vorhanden.</w:t>
      </w:r>
    </w:p>
    <w:p>
      <w:r>
        <w:rPr>
          <w:color w:val="5A7D3A"/>
          <w:sz w:val="18"/>
        </w:rPr>
        <w:t>https://pubmed.ncbi.nlm.nih.gov/42729934/</w:t>
      </w:r>
    </w:p>
    <w:p>
      <w:pPr>
        <w:pStyle w:val="Heading2"/>
      </w:pPr>
      <w:r>
        <w:t>Genetische Architektur der Muskelkraft zeigt geschlechtsstratifizierte Effekte</w:t>
      </w:r>
    </w:p>
    <w:p>
      <w:r>
        <w:rPr>
          <w:i/>
          <w:color w:val="666666"/>
          <w:sz w:val="18"/>
        </w:rPr>
        <w:t>Mu Y et al.  ·  Biol Sex Differ  ·  25.08.2026  ·  PMID 42702734</w:t>
      </w:r>
    </w:p>
    <w:p>
      <w:r>
        <w:t>Genome-wide association study (GWAS) UK Biobank zu Sarkopenieindex (Kreatinin/Cystatin-C-Ratio) mit kombinierten und geschlechtsstratifizierten Analysen zur Identifizierung biologisch dimorphe Mechanismen.</w:t>
      </w:r>
    </w:p>
    <w:p>
      <w:r>
        <w:rPr>
          <w:b/>
        </w:rPr>
        <w:t xml:space="preserve">Ergebnis: </w:t>
      </w:r>
      <w:r>
        <w:t>774 unabhängige SI-assoziierte Loci gesamt (747 kombiniert, 283 männlich, 311 weiblich); 367 neu. Geschlechtsabhängige Loci rs1145093-chr15q21.1-GATM. 17 male-biased, 11 female-biased Gene priorisiert. Androgen-Rezeptor + GATA4 männlich; ESR1 + MYOD1 weiblich. Inverse genetische Korrelation SI-Herzversagen (rg=-0,19, p=2,3×10⁻⁹) und metabolisches Syndrom (rg=-0,12, p=8,5×10⁻⁸).</w:t>
      </w:r>
    </w:p>
    <w:p>
      <w:r>
        <w:rPr>
          <w:b/>
          <w:sz w:val="19"/>
        </w:rPr>
        <w:t xml:space="preserve">Übertragbarkeit: </w:t>
      </w:r>
      <w:r>
        <w:rPr>
          <w:sz w:val="19"/>
        </w:rPr>
        <w:t>UK Biobank, biologische Grundlage sarkopenischer Geschlechtsunterschiede; Präzisionsprävention abhängig von Geschlechtsverifikation.</w:t>
      </w:r>
    </w:p>
    <w:p>
      <w:r>
        <w:rPr>
          <w:color w:val="5A7D3A"/>
          <w:sz w:val="18"/>
        </w:rPr>
        <w:t>https://pubmed.ncbi.nlm.nih.gov/42702734/</w:t>
      </w:r>
    </w:p>
    <w:p>
      <w:pPr>
        <w:pStyle w:val="Heading2"/>
      </w:pPr>
      <w:r>
        <w:t>Mobiles Interventionsprogramm zur Reduktion selbstverletzenden Verhaltens bei LGBTQ+-Personen</w:t>
      </w:r>
    </w:p>
    <w:p>
      <w:r>
        <w:rPr>
          <w:i/>
          <w:color w:val="666666"/>
          <w:sz w:val="18"/>
        </w:rPr>
        <w:t>Bresin K et al.  ·  Suicide Life Threat Behav  ·  Okt. 2026  ·  PMID 42698200</w:t>
      </w:r>
    </w:p>
    <w:p>
      <w:r>
        <w:t>Randomisierte Experimentalstudie (n=55) LGBTQ+-Personen mit Selbstverletzungsgedanken/-verhalten: 14 Tage Baseline-EMA, dann Randomisierung zu Brief-Messaging (Zugehörigkeit, Lebenssinn) oder Kontrolle (14 Tage), dann 14 Tage Post-EMA.</w:t>
      </w:r>
    </w:p>
    <w:p>
      <w:r>
        <w:rPr>
          <w:b/>
        </w:rPr>
        <w:t xml:space="preserve">Ergebnis: </w:t>
      </w:r>
      <w:r>
        <w:t>Interventionsgruppe: Selbstverletzungsgedanken und -planung stabil, Selbstverletzungsverhalten, thwarted belongingness und perceived burdensomeness signifikant abnehmend. Kontrollgruppe: Selbstverletzungsgedanken/planung signifikant ansteigend, keine Veränderung bei Verhalten/belongingness/burdensomeness. Effekt unterstützt interpersonale Suizidtheorie.</w:t>
      </w:r>
    </w:p>
    <w:p>
      <w:r>
        <w:rPr>
          <w:b/>
          <w:sz w:val="19"/>
        </w:rPr>
        <w:t xml:space="preserve">Übertragbarkeit: </w:t>
      </w:r>
      <w:r>
        <w:rPr>
          <w:sz w:val="19"/>
        </w:rPr>
        <w:t>USA; konzeptueller Ansatz (Zugehörigkeit, Burdenedness) ist international gültig, Implementierung als Mhealth skalierbar.</w:t>
      </w:r>
    </w:p>
    <w:p>
      <w:r>
        <w:rPr>
          <w:color w:val="5A7D3A"/>
          <w:sz w:val="18"/>
        </w:rPr>
        <w:t>https://pubmed.ncbi.nlm.nih.gov/42698200/</w:t>
      </w:r>
    </w:p>
    <w:p>
      <w:pPr>
        <w:pStyle w:val="Heading2"/>
      </w:pPr>
      <w:r>
        <w:t>Geschlechtersensible Palliativversorgung: Schweizer Studienprojekt zu Ungleichheiten am Lebensende</w:t>
      </w:r>
    </w:p>
    <w:p>
      <w:r>
        <w:rPr>
          <w:i/>
          <w:color w:val="666666"/>
          <w:sz w:val="18"/>
        </w:rPr>
        <w:t>Schwind B et al.  ·  BMJ Open  ·  28.06.2026  ·  PMID 42366007</w:t>
      </w:r>
    </w:p>
    <w:p>
      <w:r>
        <w:t>Mixed-Methods-Studienprotokoll untersucht, wie Geschlecht und Diversität Zugang zu und Qualität von Palliativversorgung in der Schweiz systematisch beeinflussen, mit Ethnographie, Netzwerkanalyse und Wissenstransfer.</w:t>
      </w:r>
    </w:p>
    <w:p>
      <w:r>
        <w:rPr>
          <w:b/>
        </w:rPr>
        <w:t xml:space="preserve">Ergebnis: </w:t>
      </w:r>
      <w:r>
        <w:t>Geplant: nationale Befragung von Fachkräften zur Geschlechts- und Diversitätsbewusstheit; Ethnographie in 2 Palliativstationen; Netzwerkmodellierung über Zurich; Ko-Kreation von Evidenz mit Patienten, Angehörigen, Fachkräften und Politik zur Verbesserung Equity-orientierter Praxis.</w:t>
      </w:r>
    </w:p>
    <w:p>
      <w:r>
        <w:rPr>
          <w:b/>
          <w:sz w:val="19"/>
        </w:rPr>
        <w:t xml:space="preserve">Übertragbarkeit: </w:t>
      </w:r>
      <w:r>
        <w:rPr>
          <w:sz w:val="19"/>
        </w:rPr>
        <w:t>Schweiz, deutschsprachig, vergleichbares Gesundheitssystem; intersektionaler Ansatz direkt auf Versorgungsgerechtigkeit ausgerichtet.</w:t>
      </w:r>
    </w:p>
    <w:p>
      <w:r>
        <w:rPr>
          <w:color w:val="5A7D3A"/>
          <w:sz w:val="18"/>
        </w:rPr>
        <w:t>https://pubmed.ncbi.nlm.nih.gov/42366007/</w:t>
      </w:r>
    </w:p>
    <w:p>
      <w:pPr>
        <w:pStyle w:val="Heading2"/>
      </w:pPr>
      <w:r>
        <w:t>Lebensqualität nach genitalchirurgischer Rekonstruktion bei Mädchen mit kongenitalem Adrenalhyperplasmus</w:t>
      </w:r>
    </w:p>
    <w:p>
      <w:r>
        <w:rPr>
          <w:i/>
          <w:color w:val="666666"/>
          <w:sz w:val="18"/>
        </w:rPr>
        <w:t>Heidtmann F et al.  ·  J Pediatr Urol  ·  30.05.2026  ·  PMID 42275809</w:t>
      </w:r>
    </w:p>
    <w:p>
      <w:r>
        <w:t>Deutsches Zentrum (Jena): Querschnittsumfrage 25 Patientinnen (von 56) nach Genitalchirurgie zwischen 2007–2016 mit validiertem Fragebogen zu Lebensqualität und Geschlechtsidentität.</w:t>
      </w:r>
    </w:p>
    <w:p>
      <w:r>
        <w:rPr>
          <w:b/>
        </w:rPr>
        <w:t xml:space="preserve">Ergebnis: </w:t>
      </w:r>
      <w:r>
        <w:t>Alle 25 Patientinnen: Lebensqualitätsscores vergleichbar mit gesunden Referenzgruppen (Kinder 3–6 J. und Jugendliche normal; Kinder 7–13 J. leicht erhöht). Keiner der 5 Jugendlichen ≥14 Jahre zeigte Geschlechtsdysphorie (UGDS-Scores &lt;40). Alle 14 befragten Familien bevorzugten frühzeitigen Operationszeitpunkt, kein Bedauern geäußert.</w:t>
      </w:r>
    </w:p>
    <w:p>
      <w:r>
        <w:rPr>
          <w:b/>
          <w:sz w:val="19"/>
        </w:rPr>
        <w:t xml:space="preserve">Übertragbarkeit: </w:t>
      </w:r>
      <w:r>
        <w:rPr>
          <w:sz w:val="19"/>
        </w:rPr>
        <w:t>Deutschland, Single-Center, kleine Stichprobe; zeigt praktische Langzeitergebnisse chirurgischer Versorgung.</w:t>
      </w:r>
    </w:p>
    <w:p>
      <w:r>
        <w:rPr>
          <w:color w:val="5A7D3A"/>
          <w:sz w:val="18"/>
        </w:rPr>
        <w:t>https://pubmed.ncbi.nlm.nih.gov/42275809/</w:t>
      </w:r>
    </w:p>
    <w:p>
      <w:pPr>
        <w:pStyle w:val="Heading2"/>
      </w:pPr>
      <w:r>
        <w:t>Arbeitslosigkeit und niedriges Einkommen verschärfen Lebensqualität ungleich in sechs Ländern</w:t>
      </w:r>
    </w:p>
    <w:p>
      <w:r>
        <w:rPr>
          <w:i/>
          <w:color w:val="666666"/>
          <w:sz w:val="18"/>
        </w:rPr>
        <w:t>Eijkens J et al.  ·  Qual Life Res  ·  08.06.2026  ·  PMID 42260238</w:t>
      </w:r>
    </w:p>
    <w:p>
      <w:r>
        <w:t>Querschnittstudie März–Juni 2020 (COVID-19): 17.607 Respondenten (18–75 J.) aus China, Italien, Niederlande, Schweden, UK, USA zur Assoziation von Bildung, Einkommen und Erwerbsstatus mit EQ-5D-5L-Lebensqualität.</w:t>
      </w:r>
    </w:p>
    <w:p>
      <w:r>
        <w:rPr>
          <w:b/>
        </w:rPr>
        <w:t xml:space="preserve">Ergebnis: </w:t>
      </w:r>
      <w:r>
        <w:t>In allen Ländern außer Italien: niedrigere Bildung → höhere Health Impairment Level Sum Scores (schlechtere Qualität). UK größter Bildungsabstand. Niedrigeres Einkommen in Niederlande, Schweden, UK, USA mit schlechterer Qualität verknüpft (China/Italien keine Einkommensdifferenz). Arbeitslosigkeit über alle 6 Länder konstant stärkster Prädiktor für schlechtere Qualität.</w:t>
      </w:r>
    </w:p>
    <w:p>
      <w:r>
        <w:rPr>
          <w:b/>
          <w:sz w:val="19"/>
        </w:rPr>
        <w:t xml:space="preserve">Übertragbarkeit: </w:t>
      </w:r>
      <w:r>
        <w:rPr>
          <w:sz w:val="19"/>
        </w:rPr>
        <w:t>Niederlande, Schweden, UK - europäische Systeme; vergleichbar mit DACH-Sozialversicherungen, Arbeitsmarktstrukturen.</w:t>
      </w:r>
    </w:p>
    <w:p>
      <w:r>
        <w:rPr>
          <w:color w:val="5A7D3A"/>
          <w:sz w:val="18"/>
        </w:rPr>
        <w:t>https://pubmed.ncbi.nlm.nih.gov/42260238/</w:t>
      </w:r>
    </w:p>
    <w:p>
      <w:pPr>
        <w:pStyle w:val="Heading2"/>
      </w:pPr>
      <w:r>
        <w:t>Langwirksame PrEP in Italien: Awareness, Akzeptanz und ungedeckter Bedarf nach Geschlecht und Sexualität</w:t>
      </w:r>
    </w:p>
    <w:p>
      <w:r>
        <w:rPr>
          <w:i/>
          <w:color w:val="666666"/>
          <w:sz w:val="18"/>
        </w:rPr>
        <w:t>Wang H et al.  ·  HIV Res Clin Pract  ·  31.12.2026  ·  PMID 42186205</w:t>
      </w:r>
    </w:p>
    <w:p>
      <w:r>
        <w:t>Querschnittstudie PROTECT Oktober 2023–April 2024: 2.215 HIV-negative Personen (1.707 MSM, 32 trans*, 267 Cis-Männer, 209 Cis-Frauen) zu oralem/langwirksamem PrEP-Bewusstsein, Anwendung und Intentionen.</w:t>
      </w:r>
    </w:p>
    <w:p>
      <w:r>
        <w:rPr>
          <w:b/>
        </w:rPr>
        <w:t xml:space="preserve">Ergebnis: </w:t>
      </w:r>
      <w:r>
        <w:t>Orale PrEP Anwendung 19,0% gesamt; 19,8% davon suboptimale Adhärenz, 10,0% Abbruch. LA-PrEP-Intention 47,0%. Ungedeckter Präventionsbedarf 34,8% (LA-PrEP könnte adressieren). MSM höchste Engagement (ungedeckter Bedarf in PrEP-naiven und Abbrechern hoch, aber LA-PrEP-Intention niedrig = Mismatch). Cis-Männer niedrigste Engagement. Weniger urbanisierte Gegenden höherer ungedeckter Bedarf.</w:t>
      </w:r>
    </w:p>
    <w:p>
      <w:r>
        <w:rPr>
          <w:b/>
          <w:sz w:val="19"/>
        </w:rPr>
        <w:t xml:space="preserve">Übertragbarkeit: </w:t>
      </w:r>
      <w:r>
        <w:rPr>
          <w:sz w:val="19"/>
        </w:rPr>
        <w:t>Italien, vergleichbare europäische Gesundheitssystem und LGBT+-Versorgungslandschaft; zeigt Zugangsbarrieren nach Bevölkerungsgruppe.</w:t>
      </w:r>
    </w:p>
    <w:p>
      <w:r>
        <w:rPr>
          <w:color w:val="5A7D3A"/>
          <w:sz w:val="18"/>
        </w:rPr>
        <w:t>https://pubmed.ncbi.nlm.nih.gov/42186205/</w:t>
      </w:r>
    </w:p>
    <w:p>
      <w:pPr>
        <w:pStyle w:val="Heading1"/>
      </w:pPr>
      <w:r>
        <w:t>Aufgenommen am 12.09.2026</w:t>
      </w:r>
    </w:p>
    <w:p>
      <w:pPr>
        <w:pStyle w:val="Heading2"/>
      </w:pPr>
      <w:r>
        <w:t>Sarkopenie bei Typ-2-Diabetes im Alter: Geschlechtsunterschiede in Muskelbildgebung und Diagnostik</w:t>
      </w:r>
    </w:p>
    <w:p>
      <w:r>
        <w:rPr>
          <w:i/>
          <w:color w:val="666666"/>
          <w:sz w:val="18"/>
        </w:rPr>
        <w:t>Chen Y et al.  ·  Geriatr Gerontol Int  ·  Sept. 2026  ·  PMID 42723363</w:t>
      </w:r>
    </w:p>
    <w:p>
      <w:r>
        <w:t>Querschnittstudie (n=269 ältere Diabetiker) mit Shear-Wave-Elastographie des Gastrocnemius und BMI zur Diagnose von Sarkopenie-Stadien – logistische Regressionen mit Geschlechtsstratifizierung.</w:t>
      </w:r>
    </w:p>
    <w:p>
      <w:r>
        <w:rPr>
          <w:b/>
        </w:rPr>
        <w:t xml:space="preserve">Ergebnis: </w:t>
      </w:r>
      <w:r>
        <w:t>Kontrahierte Elastizität (E-cont) unabhängiger Risikofaktor in beiden Geschlechtern. Kombiniertes Modell (AUC 0,988; Sensitivität 92%, Spezifität 95,4%); geschlechtsstratifiziert AUC 0,984 (Männer), 0,991 (Frauen). Schutzeffekt von E-cont stärker bei Frauen (OR 0,710 vs. 0,806 Männer), von BMI stärker bei Männern (OR 0,358 vs. 0,388 Frauen). Früher Indikator für Muskelschwund.</w:t>
      </w:r>
    </w:p>
    <w:p>
      <w:r>
        <w:rPr>
          <w:b/>
          <w:sz w:val="19"/>
        </w:rPr>
        <w:t xml:space="preserve">Übertragbarkeit: </w:t>
      </w:r>
      <w:r>
        <w:rPr>
          <w:sz w:val="19"/>
        </w:rPr>
        <w:t>Ostasien, diagnostische Messparameter biologisch geschlechtsDifferential, Übertragbarkeit auf deutsche Kliniken gegeben</w:t>
      </w:r>
    </w:p>
    <w:p>
      <w:r>
        <w:rPr>
          <w:color w:val="5A7D3A"/>
          <w:sz w:val="18"/>
        </w:rPr>
        <w:t>https://pubmed.ncbi.nlm.nih.gov/42723363/</w:t>
      </w:r>
    </w:p>
    <w:p>
      <w:pPr>
        <w:pStyle w:val="Heading2"/>
      </w:pPr>
      <w:r>
        <w:t>Geschlechtsunterschiede im Zigarettenrauchen: 39 afrikanische Länder</w:t>
      </w:r>
    </w:p>
    <w:p>
      <w:r>
        <w:rPr>
          <w:i/>
          <w:color w:val="666666"/>
          <w:sz w:val="18"/>
        </w:rPr>
        <w:t>Osborne A et al.  ·  Glob Health Action  ·  08.09.2026  ·  PMID 42708187</w:t>
      </w:r>
    </w:p>
    <w:p>
      <w:r>
        <w:t>WHO-Daten zur Rauchprävalenz (2022) nach Geschlecht für Personen ≥15 Jahre – geschlechtsstratifizierte Vergleiche mit Absolute Differences und Ratios in 39 Ländern.</w:t>
      </w:r>
    </w:p>
    <w:p>
      <w:r>
        <w:rPr>
          <w:b/>
        </w:rPr>
        <w:t xml:space="preserve">Ergebnis: </w:t>
      </w:r>
      <w:r>
        <w:t>Männerquoten überall höher. Gesamtprävalenz 1,7% (Ghana) bis 18,2% (Seychellen). Geschlechtsdifferenz 3,3 Prozentpunkte (Ghana) bis 36,4 (Lesotho); &gt;25 pp in Mauritius, Algerien, Madagaskar, Seychellen. Frauenrauchen höchst in Südafrika (5,1%) und Seychellen (4,5%). Erklärungen (Geschlechternormen, Marketing, Policy) nicht untersucht – zeigen biologische oder Zugangsbarrieren nicht.</w:t>
      </w:r>
    </w:p>
    <w:p>
      <w:r>
        <w:rPr>
          <w:b/>
          <w:sz w:val="19"/>
        </w:rPr>
        <w:t xml:space="preserve">Übertragbarkeit: </w:t>
      </w:r>
      <w:r>
        <w:rPr>
          <w:sz w:val="19"/>
        </w:rPr>
        <w:t>Subsahara-Afrika, andere Ausgangslage, Kausalität nicht geklärt – Baseline für weiterführende Studien</w:t>
      </w:r>
    </w:p>
    <w:p>
      <w:r>
        <w:rPr>
          <w:color w:val="5A7D3A"/>
          <w:sz w:val="18"/>
        </w:rPr>
        <w:t>https://pubmed.ncbi.nlm.nih.gov/42708187/</w:t>
      </w:r>
    </w:p>
    <w:p>
      <w:pPr>
        <w:pStyle w:val="Heading2"/>
      </w:pPr>
      <w:r>
        <w:t>Nachbarschaftliche Gesundheitsungleichheit im UK: Gemeinschaftsgeführte Massnahmen zeigen messbare Ergebnisse</w:t>
      </w:r>
    </w:p>
    <w:p>
      <w:r>
        <w:rPr>
          <w:i/>
          <w:color w:val="666666"/>
          <w:sz w:val="18"/>
        </w:rPr>
        <w:t>McNally L  ·  Health Promot Int  ·  01.07.2026  ·  PMID 42545226</w:t>
      </w:r>
    </w:p>
    <w:p>
      <w:r>
        <w:t>Fallstudie Priority Neighbourhood Development (PND) Programm in Worcestershire – Evaluation nach 18 Monaten mit Notfallaufnahmen, Kinderwohlfahrts-Referrals, Wohlbefinden und sozialer Isolation.</w:t>
      </w:r>
    </w:p>
    <w:p>
      <w:r>
        <w:rPr>
          <w:b/>
        </w:rPr>
        <w:t xml:space="preserve">Ergebnis: </w:t>
      </w:r>
      <w:r>
        <w:t>Notfallaufnahmen gesunken, Kinderwohlfahrts-Referrals reduziert, Wohlbefinden verbessert, soziale Isolation verringert. Qualitativ: gestärkte Gemeinschaftsaktion, gestärkte Befähigung, verbesserte Versorgungszugang. Modell skaliert auf County-Ebene und in Policy/Vergabe verankert. Mechanismus: Vermögensbasierte Entwicklung, Bewohner-Leadership, Querschnitts-Koordination reduzierten Ungleichheit strukturell – nicht geschlechtergetrennt ausgewertet.</w:t>
      </w:r>
    </w:p>
    <w:p>
      <w:r>
        <w:rPr>
          <w:b/>
          <w:sz w:val="19"/>
        </w:rPr>
        <w:t xml:space="preserve">Übertragbarkeit: </w:t>
      </w:r>
      <w:r>
        <w:rPr>
          <w:sz w:val="19"/>
        </w:rPr>
        <w:t>UK-Programm, aber Interventionsprinzipien auf deutsche Kommunen übertragbar; Geschlechtsdifferential nicht im Mittelpunkt</w:t>
      </w:r>
    </w:p>
    <w:p>
      <w:r>
        <w:rPr>
          <w:color w:val="5A7D3A"/>
          <w:sz w:val="18"/>
        </w:rPr>
        <w:t>https://pubmed.ncbi.nlm.nih.gov/42545226/</w:t>
      </w:r>
    </w:p>
    <w:p>
      <w:pPr>
        <w:pStyle w:val="Heading2"/>
      </w:pPr>
      <w:r>
        <w:t>Krebs im ländlichen Raum: Medienberichterstattung über räumliche Ungleichheit im Vereinigten Königreich</w:t>
      </w:r>
    </w:p>
    <w:p>
      <w:r>
        <w:rPr>
          <w:i/>
          <w:color w:val="666666"/>
          <w:sz w:val="18"/>
        </w:rPr>
        <w:t>Tyler I et al.  ·  Health Place  ·  30.06.2026  ·  PMID 42378953</w:t>
      </w:r>
    </w:p>
    <w:p>
      <w:r>
        <w:t>Analyse von 10.812 Zeitungsartikeln (2015-2025) zu ländlichen und Küstenkrebs-Ungleichheiten – 188 geeignete Artikel identifiziert und auf Framing, Themen und regionale Unterschiede codiert.</w:t>
      </w:r>
    </w:p>
    <w:p>
      <w:r>
        <w:rPr>
          <w:b/>
        </w:rPr>
        <w:t xml:space="preserve">Ergebnis: </w:t>
      </w:r>
      <w:r>
        <w:t>Berichterstattung begrenzt, aber zeitlich zunehmend. Hauptthemen: Reisebelastung, ungleicher Zugang zu Behandlung, Personalknappheit, Servicezentralisierung. 86% Soziopolitisches Framing (Struktur/Politik-getrieben). Geografische Schiefheit: Überrepräsentation Schottlands gegenüber England, Nordirland, Wales – Zugang und Leitlinien in strukturellen Hindernissen evident.</w:t>
      </w:r>
    </w:p>
    <w:p>
      <w:r>
        <w:rPr>
          <w:b/>
          <w:sz w:val="19"/>
        </w:rPr>
        <w:t xml:space="preserve">Übertragbarkeit: </w:t>
      </w:r>
      <w:r>
        <w:rPr>
          <w:sz w:val="19"/>
        </w:rPr>
        <w:t>UK-Medienanalyse, Zugangswegs-Unterschiede auf europäische Gesundheitssysteme übertragbar</w:t>
      </w:r>
    </w:p>
    <w:p>
      <w:r>
        <w:rPr>
          <w:color w:val="5A7D3A"/>
          <w:sz w:val="18"/>
        </w:rPr>
        <w:t>https://pubmed.ncbi.nlm.nih.gov/42378953/</w:t>
      </w:r>
    </w:p>
    <w:p>
      <w:pPr>
        <w:pStyle w:val="Heading2"/>
      </w:pPr>
      <w:r>
        <w:t>Intersektionale Unterschiede in selbstbewerteter Gesundheit in Deutschland nach Geschlecht, Migration, Bildung und Einkommen</w:t>
      </w:r>
    </w:p>
    <w:p>
      <w:r>
        <w:rPr>
          <w:i/>
          <w:color w:val="666666"/>
          <w:sz w:val="18"/>
        </w:rPr>
        <w:t>Slesinski SC et al.  ·  J Epidemiol Community Health  ·  10.09.2026  ·  PMID 42331609</w:t>
      </w:r>
    </w:p>
    <w:p>
      <w:r>
        <w:t>Deutsche Querschnittanalyse der Intersektionalität von Geschlecht, Migration und Sozioökonomie (n=179.861) mit Poisson-Regression auf selbstbewertete Gesundheit.</w:t>
      </w:r>
    </w:p>
    <w:p>
      <w:r>
        <w:rPr>
          <w:b/>
        </w:rPr>
        <w:t xml:space="preserve">Ergebnis: </w:t>
      </w:r>
      <w:r>
        <w:t>Armutsquote für schlechte Gesundheit stieg von 6,3% (hochgebildete, einkommensstarke Männer) auf 22,6% (niedriggebildete, einkommensarme Frauen mit Migrationshintergrund). Relative Excessrisiken durch Interaktion zeigten synergistische Effekte: Frauen mit Migration und niedrigem Einkommen/Bildung hatten disproportional höhere Risiken als Summe ihrer einzelnen Positionen. Migrierte Frauen mit türkischem Hintergrund betroffen.</w:t>
      </w:r>
    </w:p>
    <w:p>
      <w:r>
        <w:rPr>
          <w:b/>
          <w:sz w:val="19"/>
        </w:rPr>
        <w:t xml:space="preserve">Übertragbarkeit: </w:t>
      </w:r>
      <w:r>
        <w:rPr>
          <w:sz w:val="19"/>
        </w:rPr>
        <w:t>Deutsche Kohorte, vergleichbare Dokumentationspflichten, direkt auf deutsches GKV-System übertragbar</w:t>
      </w:r>
    </w:p>
    <w:p>
      <w:r>
        <w:rPr>
          <w:color w:val="5A7D3A"/>
          <w:sz w:val="18"/>
        </w:rPr>
        <w:t>https://pubmed.ncbi.nlm.nih.gov/42331609/</w:t>
      </w:r>
    </w:p>
    <w:p>
      <w:pPr>
        <w:pStyle w:val="Heading2"/>
      </w:pPr>
      <w:r>
        <w:t>Geschlechtsunterschiede in der Gesundheitsberichterstattung: Biomarker zeigen minimale Bias-Unterschiede</w:t>
      </w:r>
    </w:p>
    <w:p>
      <w:r>
        <w:rPr>
          <w:i/>
          <w:color w:val="666666"/>
          <w:sz w:val="18"/>
        </w:rPr>
        <w:t>Oksuzyan A et al.  ·  Demography  ·  01.06.2026  ·  PMID 42240458</w:t>
      </w:r>
    </w:p>
    <w:p>
      <w:r>
        <w:t>Vergleich Selbstbewertete Gesundheit mit objektiven Biomarkern (Health and Retirement Study) nach Geschlecht und Alter zur Prüfung von Reporting Bias.</w:t>
      </w:r>
    </w:p>
    <w:p>
      <w:r>
        <w:rPr>
          <w:b/>
        </w:rPr>
        <w:t xml:space="preserve">Ergebnis: </w:t>
      </w:r>
      <w:r>
        <w:t>Geringen Reporting-Bias zwischen Männern und Frauen. White respondents jünger: kaum Bias. White respondents ≥60 Jahre: optimistische Bewertung beider Geschlechter. Schwarze: inkonsistent über Alter. Hispanische: pessimistischer. Keine systematische Geschlechterdifferenz im Reporting – widerlegt Stereotype weiblicher Überbewertung von Symptomen. Optimismus steigt mit Alter.</w:t>
      </w:r>
    </w:p>
    <w:p>
      <w:r>
        <w:rPr>
          <w:b/>
          <w:sz w:val="19"/>
        </w:rPr>
        <w:t xml:space="preserve">Übertragbarkeit: </w:t>
      </w:r>
      <w:r>
        <w:rPr>
          <w:sz w:val="19"/>
        </w:rPr>
        <w:t>USA, aber Reporting-Bias-Befund ist Methoden-Beitrag, nicht Kausalität-abhängig – teilweise übertragbar</w:t>
      </w:r>
    </w:p>
    <w:p>
      <w:r>
        <w:rPr>
          <w:color w:val="5A7D3A"/>
          <w:sz w:val="18"/>
        </w:rPr>
        <w:t>https://pubmed.ncbi.nlm.nih.gov/42240458/</w:t>
      </w:r>
    </w:p>
    <w:p>
      <w:pPr>
        <w:pStyle w:val="Heading1"/>
      </w:pPr>
      <w:r>
        <w:t>Aufgenommen am 11.09.2026</w:t>
      </w:r>
    </w:p>
    <w:p>
      <w:pPr>
        <w:pStyle w:val="Heading2"/>
      </w:pPr>
      <w:r>
        <w:t>Antidepressant Behandlung bei Depression: Geschlechter-unterschiede in Endocannabinoid-Biomarkern</w:t>
      </w:r>
    </w:p>
    <w:p>
      <w:r>
        <w:rPr>
          <w:i/>
          <w:color w:val="666666"/>
          <w:sz w:val="18"/>
        </w:rPr>
        <w:t>Sorkhou M et al.  ·  Eur Arch Psychiatry Clin Neurosci  ·  25.08.2026  ·  PMID 42640306</w:t>
      </w:r>
    </w:p>
    <w:p>
      <w:r>
        <w:t>Sekundäranalyse einer kanadischen antidepressiven Behandlungsstudie mit 178 Patienten auf Geschlechtsunterschiede in Endocannabinoid-Biomarkern und deren Assoziation zu Behandlungserfolg geprüft.</w:t>
      </w:r>
    </w:p>
    <w:p>
      <w:r>
        <w:rPr>
          <w:b/>
        </w:rPr>
        <w:t xml:space="preserve">Ergebnis: </w:t>
      </w:r>
      <w:r>
        <w:t>Keine Unterschiede in mRNA oder SNP nach Korrektur gefunden; tiefere DAGLA-mRNA bei Männern mit besserem Symptomrückgang in Woche 8 (FDR-korrigiert), nicht bei Frauen. Größere Studien nötig zur Klärung geschlechtsspezifischer Effekte.</w:t>
      </w:r>
    </w:p>
    <w:p>
      <w:r>
        <w:rPr>
          <w:b/>
          <w:sz w:val="19"/>
        </w:rPr>
        <w:t xml:space="preserve">Übertragbarkeit: </w:t>
      </w:r>
      <w:r>
        <w:rPr>
          <w:sz w:val="19"/>
        </w:rPr>
        <w:t>Kanada - Mechanismus unklar, Biomarker ohne Versorgungsbezug.</w:t>
      </w:r>
    </w:p>
    <w:p>
      <w:r>
        <w:rPr>
          <w:color w:val="5A7D3A"/>
          <w:sz w:val="18"/>
        </w:rPr>
        <w:t>https://pubmed.ncbi.nlm.nih.gov/42640306/</w:t>
      </w:r>
    </w:p>
    <w:p>
      <w:pPr>
        <w:pStyle w:val="Heading2"/>
      </w:pPr>
      <w:r>
        <w:t>Hochaltrigkeit in Deutschland: Demografie, regionale Ungleichheit und Gesundheit</w:t>
      </w:r>
    </w:p>
    <w:p>
      <w:r>
        <w:rPr>
          <w:i/>
          <w:color w:val="666666"/>
          <w:sz w:val="18"/>
        </w:rPr>
        <w:t>Wolter B et al.  ·  Bundesgesundheitsblatt Gesundheitsforschung Gesundheitsschutz  ·  18.08.2026  ·  PMID 42611051</w:t>
      </w:r>
    </w:p>
    <w:p>
      <w:r>
        <w:t>Übersicht zur Lebenslage und Gesundheit von über 80-Jährigen in Deutschland basierend auf Gesundheit-65+-Studie (RKI) und D80+-Studie mit Fokus auf geschlechtsspezifische Unterschiede.</w:t>
      </w:r>
    </w:p>
    <w:p>
      <w:r>
        <w:rPr>
          <w:b/>
        </w:rPr>
        <w:t xml:space="preserve">Ergebnis: </w:t>
      </w:r>
      <w:r>
        <w:t>Frauen überwiegen unter Hochaltrigen deutlich; geschlechtsspezifische Unterschiede in Einkommen, Lebenserwartung und Familienstand dokumentiert; strukturschwache Regionen tragen überproportional viele ältere Menschen mit schlechteren Versorgungsstrukturen.</w:t>
      </w:r>
    </w:p>
    <w:p>
      <w:r>
        <w:rPr>
          <w:b/>
          <w:sz w:val="19"/>
        </w:rPr>
        <w:t xml:space="preserve">Übertragbarkeit: </w:t>
      </w:r>
      <w:r>
        <w:rPr>
          <w:sz w:val="19"/>
        </w:rPr>
        <w:t>Deutsche Routinedaten, RKI-Studien, direkt anwendbar auf Versorgungsplanung.</w:t>
      </w:r>
    </w:p>
    <w:p>
      <w:r>
        <w:rPr>
          <w:color w:val="5A7D3A"/>
          <w:sz w:val="18"/>
        </w:rPr>
        <w:t>https://pubmed.ncbi.nlm.nih.gov/42611051/</w:t>
      </w:r>
    </w:p>
    <w:p>
      <w:pPr>
        <w:pStyle w:val="Heading2"/>
      </w:pPr>
      <w:r>
        <w:t>Schlafapnoe und Sterblichkeit: Geschlechterunterschiede in US-Veteranen-kohorte</w:t>
      </w:r>
    </w:p>
    <w:p>
      <w:r>
        <w:rPr>
          <w:i/>
          <w:color w:val="666666"/>
          <w:sz w:val="18"/>
        </w:rPr>
        <w:t>Azarian M et al.  ·  Respir Med  ·  17.08.2026  ·  PMID 42607739</w:t>
      </w:r>
    </w:p>
    <w:p>
      <w:r>
        <w:t>Retrospektive Kohortenstudie mit 146.145 Veteranen (13,2% Frauen) zu Geschlechtsunterschieden in der Assoziation zwischen schwerer Schlafapnoe (AHI≥30) und Gesamtsterblichkeit.</w:t>
      </w:r>
    </w:p>
    <w:p>
      <w:r>
        <w:rPr>
          <w:b/>
        </w:rPr>
        <w:t xml:space="preserve">Ergebnis: </w:t>
      </w:r>
      <w:r>
        <w:t>Nach Vollausgleich: schwere Schlafapnoe mit niedrigerer Mortalität bei Frauen (aOR 0,64, 95%-KI 0,54–0,76) und Männern (aOR 0,56, 95%-KI 0,54–0,58); in mittlerem und höherem Alter ausgeprägter, keine signifikanten Effekte in jungen Jahren.</w:t>
      </w:r>
    </w:p>
    <w:p>
      <w:r>
        <w:rPr>
          <w:b/>
          <w:sz w:val="19"/>
        </w:rPr>
        <w:t xml:space="preserve">Übertragbarkeit: </w:t>
      </w:r>
      <w:r>
        <w:rPr>
          <w:sz w:val="19"/>
        </w:rPr>
        <w:t>USA-Veteranen, Survivor-Bias likely, Behandlung unklar – nur Sicherheitsbefund übertragbar.</w:t>
      </w:r>
    </w:p>
    <w:p>
      <w:r>
        <w:rPr>
          <w:color w:val="5A7D3A"/>
          <w:sz w:val="18"/>
        </w:rPr>
        <w:t>https://pubmed.ncbi.nlm.nih.gov/42607739/</w:t>
      </w:r>
    </w:p>
    <w:p>
      <w:pPr>
        <w:pStyle w:val="Heading2"/>
      </w:pPr>
      <w:r>
        <w:t>Frühgeburtsungleichheit in England: deprivations- und ethnizitätsgradient in versorgungspolitik</w:t>
      </w:r>
    </w:p>
    <w:p>
      <w:r>
        <w:rPr>
          <w:i/>
          <w:color w:val="666666"/>
          <w:sz w:val="18"/>
        </w:rPr>
        <w:t>Nsugbe E et al.  ·  Soc Sci Med  ·  31.07.2026  ·  PMID 42551388</w:t>
      </w:r>
    </w:p>
    <w:p>
      <w:r>
        <w:t>Analyse von 1.179.195 Lebendgeburten 2020–2021 in England zur Quantifizierung von Armuts- und Ethnizitätsgradienten in Frühgeburtsraten mit Übersetzung in vorrangige Zielgruppen.</w:t>
      </w:r>
    </w:p>
    <w:p>
      <w:r>
        <w:rPr>
          <w:b/>
        </w:rPr>
        <w:t xml:space="preserve">Ergebnis: </w:t>
      </w:r>
      <w:r>
        <w:t>Monotone Zunahme von 6,39% (reichste Quintile) zu 8,71% (ärmste Quintile); ärmste Quintile verantwortlich für 57,7% der deprivationsattributierten Überschussfälle; schwarze Kariben 10,22% (RR 1,37 vs. weiß-britisch).</w:t>
      </w:r>
    </w:p>
    <w:p>
      <w:r>
        <w:rPr>
          <w:b/>
          <w:sz w:val="19"/>
        </w:rPr>
        <w:t xml:space="preserve">Übertragbarkeit: </w:t>
      </w:r>
      <w:r>
        <w:rPr>
          <w:sz w:val="19"/>
        </w:rPr>
        <w:t>England, vergleichbare Systeme (Niederlande, Belgien), direkt nutzbar für gezielte Ressourcenallokation.</w:t>
      </w:r>
    </w:p>
    <w:p>
      <w:r>
        <w:rPr>
          <w:color w:val="5A7D3A"/>
          <w:sz w:val="18"/>
        </w:rPr>
        <w:t>https://pubmed.ncbi.nlm.nih.gov/42551388/</w:t>
      </w:r>
    </w:p>
    <w:p>
      <w:pPr>
        <w:pStyle w:val="Heading2"/>
      </w:pPr>
      <w:r>
        <w:t>Indikatoren in Mutter-Neugeborenen-Gesundheit: globale messung neu denken</w:t>
      </w:r>
    </w:p>
    <w:p>
      <w:r>
        <w:rPr>
          <w:i/>
          <w:color w:val="666666"/>
          <w:sz w:val="18"/>
        </w:rPr>
        <w:t>Molenaar J et al.  ·  Soc Sci Med  ·  21.07.2026  ·  PMID 42501578</w:t>
      </w:r>
    </w:p>
    <w:p>
      <w:r>
        <w:t>Qualitative Studie mit 24 Interviews 2023–2025 mit globalen Akteuren zu Herausforderungen der Indikatoren-standardisierung und -priorisierung in Mutter- und Neugeborenen-gesundheit.</w:t>
      </w:r>
    </w:p>
    <w:p>
      <w:r>
        <w:rPr>
          <w:b/>
        </w:rPr>
        <w:t xml:space="preserve">Ergebnis: </w:t>
      </w:r>
      <w:r>
        <w:t>Feld geprägt von Indikatorüberfluss ('überladene Teller'), gemischte Bewertung von Qualitäts-messungen; global-upward Accountability überwiegt lokal-decision-making; 'Indicator-Menü'-Ansätze (kuratiert, aber selektierbar) als Lösungsweg vorgeschlagen, erfordern aber Kapazitätsaufbau lokal.</w:t>
      </w:r>
    </w:p>
    <w:p>
      <w:r>
        <w:rPr>
          <w:b/>
          <w:sz w:val="19"/>
        </w:rPr>
        <w:t xml:space="preserve">Übertragbarkeit: </w:t>
      </w:r>
      <w:r>
        <w:rPr>
          <w:sz w:val="19"/>
        </w:rPr>
        <w:t>Qualitativ, global – konzeptionell, nicht direkt Versorgung in Deutschland.</w:t>
      </w:r>
    </w:p>
    <w:p>
      <w:r>
        <w:rPr>
          <w:color w:val="5A7D3A"/>
          <w:sz w:val="18"/>
        </w:rPr>
        <w:t>https://pubmed.ncbi.nlm.nih.gov/42501578/</w:t>
      </w:r>
    </w:p>
    <w:p>
      <w:pPr>
        <w:pStyle w:val="Heading2"/>
      </w:pPr>
      <w:r>
        <w:t>Zugang zu Suchtbehandlung: LGBQ+-Frauen berichten Diskriminierung und Fragmentierung</w:t>
      </w:r>
    </w:p>
    <w:p>
      <w:r>
        <w:rPr>
          <w:i/>
          <w:color w:val="666666"/>
          <w:sz w:val="18"/>
        </w:rPr>
        <w:t>Hillyard M et al.  ·  Front Public Health  ·  14.05.2026  ·  PMID 42221606</w:t>
      </w:r>
    </w:p>
    <w:p>
      <w:r>
        <w:t>Qualitative Studie mit 21 semi-strukturierten Interviews mit sexuellen Minderheits-Frauen in England zu Barrieren und Förderfaktoren beim Zugang zu Suchtbehandlung.</w:t>
      </w:r>
    </w:p>
    <w:p>
      <w:r>
        <w:rPr>
          <w:b/>
        </w:rPr>
        <w:t xml:space="preserve">Ergebnis: </w:t>
      </w:r>
      <w:r>
        <w:t>Wenige hatten Behandlung erhalten; Erfahrungen von inadäquater, fragmentarischer oder unterbrochener Versorgung; explizite Homophobie, Diskriminierungs-angst, und Stigmatisierung als Zugangsbarrieren; Förderfaktoren: Akzeptanz von Sexualität, LGBTQ+-Peers, strukturelle Reformen nötig.</w:t>
      </w:r>
    </w:p>
    <w:p>
      <w:r>
        <w:rPr>
          <w:b/>
          <w:sz w:val="19"/>
        </w:rPr>
        <w:t xml:space="preserve">Übertragbarkeit: </w:t>
      </w:r>
      <w:r>
        <w:rPr>
          <w:sz w:val="19"/>
        </w:rPr>
        <w:t>Großbritannien, qualitativ, Versorgungsstruktur-barrieren – direkt relevant für deutsche Suchtbehandlung.</w:t>
      </w:r>
    </w:p>
    <w:p>
      <w:r>
        <w:rPr>
          <w:color w:val="5A7D3A"/>
          <w:sz w:val="18"/>
        </w:rPr>
        <w:t>https://pubmed.ncbi.nlm.nih.gov/42221606/</w:t>
      </w:r>
    </w:p>
    <w:p>
      <w:pPr>
        <w:pStyle w:val="Heading1"/>
      </w:pPr>
      <w:r>
        <w:t>Aufgenommen am 10.09.2026</w:t>
      </w:r>
    </w:p>
    <w:p>
      <w:pPr>
        <w:pStyle w:val="Heading2"/>
      </w:pPr>
      <w:r>
        <w:t>Psychische Belastung älterer Inder: Geschlecht, chronische Krankheit und ihre Wechselwirkung</w:t>
      </w:r>
    </w:p>
    <w:p>
      <w:r>
        <w:rPr>
          <w:i/>
          <w:color w:val="666666"/>
          <w:sz w:val="18"/>
        </w:rPr>
        <w:t>Bharti A et al.  ·  J Cross Cult Gerontol  ·  09.09.2026  ·  PMID 42714712</w:t>
      </w:r>
    </w:p>
    <w:p>
      <w:r>
        <w:t>2×2-faktorielles Design mit 136 von 200 Älteren (68%) aus Bihar, Indien, gescreent auf psychische Belastung (GHQ-12) nach Geschlecht und Gesundheitsstatus (gesund vs. chronisch krank).</w:t>
      </w:r>
    </w:p>
    <w:p>
      <w:r>
        <w:rPr>
          <w:b/>
        </w:rPr>
        <w:t xml:space="preserve">Ergebnis: </w:t>
      </w:r>
      <w:r>
        <w:t>Psychische Belastung bei 68% der Stichprobe. Signifikante Effekte für Geschlecht [F(1,132)=14,90], Gesundheitsstatus [F(1,132)=55,73] und Interaktion [F(1,132)=14,45]. Frauen mit chronischen Erkrankungen besonders belastet; Ergebnis unterstreicht Bedarf für geriatrische Psychiatrie in Indien.</w:t>
      </w:r>
    </w:p>
    <w:p>
      <w:r>
        <w:rPr>
          <w:b/>
          <w:sz w:val="19"/>
        </w:rPr>
        <w:t xml:space="preserve">Übertragbarkeit: </w:t>
      </w:r>
      <w:r>
        <w:rPr>
          <w:sz w:val="19"/>
        </w:rPr>
        <w:t>Indien, limitierte Übertragbarkeit auf deutsches System</w:t>
      </w:r>
    </w:p>
    <w:p>
      <w:r>
        <w:rPr>
          <w:color w:val="5A7D3A"/>
          <w:sz w:val="18"/>
        </w:rPr>
        <w:t>https://pubmed.ncbi.nlm.nih.gov/42714712/</w:t>
      </w:r>
    </w:p>
    <w:p>
      <w:pPr>
        <w:pStyle w:val="Heading2"/>
      </w:pPr>
      <w:r>
        <w:t>Geschlechtsspezifische Unterschiede in oralen Erkrankungen</w:t>
      </w:r>
    </w:p>
    <w:p>
      <w:r>
        <w:rPr>
          <w:i/>
          <w:color w:val="666666"/>
          <w:sz w:val="18"/>
        </w:rPr>
        <w:t>Fetchko E et al.  ·  Clin Exp Dent Res  ·  Okt. 2026  ·  PMID 42709938</w:t>
      </w:r>
    </w:p>
    <w:p>
      <w:r>
        <w:t>Retrospektive EHR-Analyse von 254.700 Personen (NIH All of Us) und 4,7 Mio. Zahnpatienten (BigMouth) auf Geschlechtsunterschiede in Mund-, Zahn- und kraniofazialen Erkrankungen.</w:t>
      </w:r>
    </w:p>
    <w:p>
      <w:r>
        <w:rPr>
          <w:b/>
        </w:rPr>
        <w:t xml:space="preserve">Ergebnis: </w:t>
      </w:r>
      <w:r>
        <w:t>61 von 87 untersuchten Konzepten (70%) zeigten signifikante Geschlechtsunterschiede: 33 (54%) Frauenbias, 28 (46%) Männerbias. BigMouth: 90 von 230 (39%) mit Bias, davon 97% Frauenbias. Unterschiede über alle Altersgruppen.</w:t>
      </w:r>
    </w:p>
    <w:p>
      <w:r>
        <w:rPr>
          <w:b/>
          <w:sz w:val="19"/>
        </w:rPr>
        <w:t xml:space="preserve">Übertragbarkeit: </w:t>
      </w:r>
      <w:r>
        <w:rPr>
          <w:sz w:val="19"/>
        </w:rPr>
        <w:t>USA-Daten, aber reines Deskriptionswerk ohne Ursachen-Erklärung</w:t>
      </w:r>
    </w:p>
    <w:p>
      <w:r>
        <w:rPr>
          <w:color w:val="5A7D3A"/>
          <w:sz w:val="18"/>
        </w:rPr>
        <w:t>https://pubmed.ncbi.nlm.nih.gov/42709938/</w:t>
      </w:r>
    </w:p>
    <w:p>
      <w:pPr>
        <w:pStyle w:val="Heading2"/>
      </w:pPr>
      <w:r>
        <w:t>Bildschirmzeit reduziert kardiorespiratorische Fitness bei Jungen</w:t>
      </w:r>
    </w:p>
    <w:p>
      <w:r>
        <w:rPr>
          <w:i/>
          <w:color w:val="666666"/>
          <w:sz w:val="18"/>
        </w:rPr>
        <w:t>Badrić M et al.  ·  Front Public Health  ·  21.08.2026  ·  PMID 42698608</w:t>
      </w:r>
    </w:p>
    <w:p>
      <w:r>
        <w:t>Querschnittsstudie von 306 kroatischen Schulkindern (163 Mädchen, 143 Jungen, 9,89 Jahre) zur Assoziation zwischen Bildschirmzeit und VO2max (geschätzt aus 20-m-Shuttlerun) unter Kontrolle für Gesamtaktivität.</w:t>
      </w:r>
    </w:p>
    <w:p>
      <w:r>
        <w:rPr>
          <w:b/>
        </w:rPr>
        <w:t xml:space="preserve">Ergebnis: </w:t>
      </w:r>
      <w:r>
        <w:t>Signifikanter Haupteffekt Bildschirmzeit auf VO2max [F(2,299)=6,40; p&lt;0,001; η²=0,04]. Signifikante Interaktion Geschlecht×Bildschirmzeit [F(2,299)=4,47; p=0,01; η²=0,03]: Hohe Bildschirmzeit korrelierte mit niedrigerem VO2max nur bei Jungen, nicht bei Mädchen. Effekt unabhängig von selbstberichteter Gesamtaktivität.</w:t>
      </w:r>
    </w:p>
    <w:p>
      <w:r>
        <w:rPr>
          <w:b/>
          <w:sz w:val="19"/>
        </w:rPr>
        <w:t xml:space="preserve">Übertragbarkeit: </w:t>
      </w:r>
      <w:r>
        <w:rPr>
          <w:sz w:val="19"/>
        </w:rPr>
        <w:t>Kroatien (Europa), Routinemessungen (Shuttle-Run), biologische Unterschiede oder geschlechterspezifische Verhaltensweisen</w:t>
      </w:r>
    </w:p>
    <w:p>
      <w:r>
        <w:rPr>
          <w:color w:val="5A7D3A"/>
          <w:sz w:val="18"/>
        </w:rPr>
        <w:t>https://pubmed.ncbi.nlm.nih.gov/42698608/</w:t>
      </w:r>
    </w:p>
    <w:p>
      <w:pPr>
        <w:pStyle w:val="Heading2"/>
      </w:pPr>
      <w:r>
        <w:t>Geschlechtsdynamiken und Leidensdruck bei Stimmenhören</w:t>
      </w:r>
    </w:p>
    <w:p>
      <w:r>
        <w:rPr>
          <w:i/>
          <w:color w:val="666666"/>
          <w:sz w:val="18"/>
        </w:rPr>
        <w:t>Klikovac LC et al.  ·  Clin Psychol Psychother  ·  Sept. 2026  ·  PMID 42675639</w:t>
      </w:r>
    </w:p>
    <w:p>
      <w:r>
        <w:t>Klinik-Routine-Daten von 347 Erwachsenen mit belastenden Stimmen (UK, 2016–2024) zur Frage, ob Geschlecht der hörenden Person und wahrgenommenes Stimmengeschlecht den Leidensdruck beeinflussen.</w:t>
      </w:r>
    </w:p>
    <w:p>
      <w:r>
        <w:rPr>
          <w:b/>
        </w:rPr>
        <w:t xml:space="preserve">Ergebnis: </w:t>
      </w:r>
      <w:r>
        <w:t>Männerstimmen häufiger; Männer hörten überwiegend Männerstimmen. Frauen, die Männerstimmen hörten, berichteten signifikant höhere Leidenswerte als andere Gruppen. Effekt durch gendered interpersonal dynamics erklärt.</w:t>
      </w:r>
    </w:p>
    <w:p>
      <w:r>
        <w:rPr>
          <w:b/>
          <w:sz w:val="19"/>
        </w:rPr>
        <w:t xml:space="preserve">Übertragbarkeit: </w:t>
      </w:r>
      <w:r>
        <w:rPr>
          <w:sz w:val="19"/>
        </w:rPr>
        <w:t>UK-Klinikdaten, qualitative Behandlungsergebnisse, Ansatz ist übertragbar</w:t>
      </w:r>
    </w:p>
    <w:p>
      <w:r>
        <w:rPr>
          <w:color w:val="5A7D3A"/>
          <w:sz w:val="18"/>
        </w:rPr>
        <w:t>https://pubmed.ncbi.nlm.nih.gov/42675639/</w:t>
      </w:r>
    </w:p>
    <w:p>
      <w:pPr>
        <w:pStyle w:val="Heading2"/>
      </w:pPr>
      <w:r>
        <w:t>Geschlechtsunterschiede in perinatalen Risikofaktoren für Neurodermitis</w:t>
      </w:r>
    </w:p>
    <w:p>
      <w:r>
        <w:rPr>
          <w:i/>
          <w:color w:val="666666"/>
          <w:sz w:val="18"/>
        </w:rPr>
        <w:t>Moilanen R et al.  ·  Acta Paediatr  ·  25.06.2026  ·  PMID 42347018</w:t>
      </w:r>
    </w:p>
    <w:p>
      <w:r>
        <w:t>Retrospektive Kohortenstudie der finnischen Geburtskohorte 1986 mit 8.993 Personen zu Assoziationen zwischen Geburtsgewicht, Entbindungsmodus, Gestationsalter und Atopischer Dermatitis, stratifiziert nach Geschlecht.</w:t>
      </w:r>
    </w:p>
    <w:p>
      <w:r>
        <w:rPr>
          <w:b/>
        </w:rPr>
        <w:t xml:space="preserve">Ergebnis: </w:t>
      </w:r>
      <w:r>
        <w:t>AD-Prävalenz 23,7 %. Niedriges Geburtsgewicht war nur bei Männern ein Schutzfaktor (adjustiertes RR 0,54; 95%-KI 0,30–0,97), nicht bei Frauen. Entbindungsmodus und Gestationsalter zeigten keinen Zusammenhang mit AD-Risiko.</w:t>
      </w:r>
    </w:p>
    <w:p>
      <w:r>
        <w:rPr>
          <w:b/>
          <w:sz w:val="19"/>
        </w:rPr>
        <w:t xml:space="preserve">Übertragbarkeit: </w:t>
      </w:r>
      <w:r>
        <w:rPr>
          <w:sz w:val="19"/>
        </w:rPr>
        <w:t>Finnland, Routinedaten mit klinischer Diagnose, vergleichbare Dokumentation</w:t>
      </w:r>
    </w:p>
    <w:p>
      <w:r>
        <w:rPr>
          <w:color w:val="5A7D3A"/>
          <w:sz w:val="18"/>
        </w:rPr>
        <w:t>https://pubmed.ncbi.nlm.nih.gov/42347018/</w:t>
      </w:r>
    </w:p>
    <w:p>
      <w:pPr>
        <w:pStyle w:val="Heading2"/>
      </w:pPr>
      <w:r>
        <w:t>Geschlechterdiskriminierung und Mentoring reduzieren Forschungsmotivation von Ärztinnen</w:t>
      </w:r>
    </w:p>
    <w:p>
      <w:r>
        <w:rPr>
          <w:i/>
          <w:color w:val="666666"/>
          <w:sz w:val="18"/>
        </w:rPr>
        <w:t>Deledalle A et al.  ·  BMJ Open  ·  29.05.2026  ·  PMID 42215261</w:t>
      </w:r>
    </w:p>
    <w:p>
      <w:r>
        <w:t>Online-Befragung von 1.570 französischen Fachärztinnen und -ärzten in Weiterbildung (997 Frauen, 573 Männer; Nov. 2022–Feb. 2023) zu Unterschieden in Forschungsmotivation, Mentoring und erlebter Diskriminierung.</w:t>
      </w:r>
    </w:p>
    <w:p>
      <w:r>
        <w:rPr>
          <w:b/>
        </w:rPr>
        <w:t xml:space="preserve">Ergebnis: </w:t>
      </w:r>
      <w:r>
        <w:t>Frauen: geringere Forschungsmotivation (21,0 vs. 22,8 Punkte; p=0,011), weniger Mentoring (38,5% vs. 44,5%; p=0,02), deutlich mehr Geschlechtsdiskriminierung (22,8% vs. 3,8%; p=0,005) und sexuelle Belästigung (57,7% vs. 18,2%; p=0,005), höherer Stress (8,48 vs. 7,27; p=0,011).</w:t>
      </w:r>
    </w:p>
    <w:p>
      <w:r>
        <w:rPr>
          <w:b/>
          <w:sz w:val="19"/>
        </w:rPr>
        <w:t xml:space="preserve">Übertragbarkeit: </w:t>
      </w:r>
      <w:r>
        <w:rPr>
          <w:sz w:val="19"/>
        </w:rPr>
        <w:t>Frankreich (DACH-vergleichbar), nationale Befragung, strukturelle Barrieren messbar</w:t>
      </w:r>
    </w:p>
    <w:p>
      <w:r>
        <w:rPr>
          <w:color w:val="5A7D3A"/>
          <w:sz w:val="18"/>
        </w:rPr>
        <w:t>https://pubmed.ncbi.nlm.nih.gov/42215261/</w:t>
      </w:r>
    </w:p>
    <w:p>
      <w:pPr>
        <w:pStyle w:val="Heading2"/>
      </w:pPr>
      <w:r>
        <w:t>Geschlechterlücke in Sturzrisikobewertung im Krankenhaus</w:t>
      </w:r>
    </w:p>
    <w:p>
      <w:r>
        <w:rPr>
          <w:i/>
          <w:color w:val="666666"/>
          <w:sz w:val="18"/>
        </w:rPr>
        <w:t>Gubser RJ et al.  ·  Stud Health Technol Inform  ·  21.05.2026  ·  PMID 42174812</w:t>
      </w:r>
    </w:p>
    <w:p>
      <w:r>
        <w:t>EHR-Analyse von 898.208 Patienten (2016–2022) einer Universitätsklinik zu Unterschieden zwischen Männern und Frauen in Sturzinzidenz, Sturzrisikoerfassung und Schweregrad von Sturzverletzungen.</w:t>
      </w:r>
    </w:p>
    <w:p>
      <w:r>
        <w:rPr>
          <w:b/>
        </w:rPr>
        <w:t xml:space="preserve">Ergebnis: </w:t>
      </w:r>
      <w:r>
        <w:t>Männer: höhere Sturzinzidenz trotz zuverlässigerer Erfassung durch Risiko-Screening-Tool. Frauen: schwerwiegendere Sturverletzungen. Geschlechtsspezifische Unterschiede in Outcome und Assessment-Genauigkeit.</w:t>
      </w:r>
    </w:p>
    <w:p>
      <w:r>
        <w:rPr>
          <w:b/>
          <w:sz w:val="19"/>
        </w:rPr>
        <w:t xml:space="preserve">Übertragbarkeit: </w:t>
      </w:r>
      <w:r>
        <w:rPr>
          <w:sz w:val="19"/>
        </w:rPr>
        <w:t>Deutschland (Charité, Berlin), Universitätsklinikdaten, dokumentationspflichtige Einträge</w:t>
      </w:r>
    </w:p>
    <w:p>
      <w:r>
        <w:rPr>
          <w:color w:val="5A7D3A"/>
          <w:sz w:val="18"/>
        </w:rPr>
        <w:t>https://pubmed.ncbi.nlm.nih.gov/42174812/</w:t>
      </w:r>
    </w:p>
    <w:p>
      <w:pPr>
        <w:pStyle w:val="Heading1"/>
      </w:pPr>
      <w:r>
        <w:t>Aufgenommen am 09.09.2026</w:t>
      </w:r>
    </w:p>
    <w:p>
      <w:pPr>
        <w:pStyle w:val="Heading2"/>
      </w:pPr>
      <w:r>
        <w:t>Herz-Nieren-Transplantation: Frauen sterben in den ersten 90 Tagen häufiger</w:t>
      </w:r>
    </w:p>
    <w:p>
      <w:r>
        <w:rPr>
          <w:i/>
          <w:color w:val="666666"/>
          <w:sz w:val="18"/>
        </w:rPr>
        <w:t>Ramu B et al.  ·  J Card Fail  ·  Sept. 2026  ·  PMID 42710970</w:t>
      </w:r>
    </w:p>
    <w:p>
      <w:r>
        <w:t>25-Jahr-Analyse von 3.068 simultanen Herz-Nieren-Transplantationen (19,7% Frauen) aus dem US-UNOS-Register mit stratifizierten Cox-Regressionen.</w:t>
      </w:r>
    </w:p>
    <w:p>
      <w:r>
        <w:rPr>
          <w:b/>
        </w:rPr>
        <w:t xml:space="preserve">Ergebnis: </w:t>
      </w:r>
      <w:r>
        <w:t>Frauen perioperativ erhöhtes Sterblichkeitsrisiko (aHR 1,58 in den Tagen 0–90, 95%-CI 1,12–2,22, p=0,009), kein signifikanter Unterschied nach Tag 90 (aHR 0,91, p=0,729) oder nach 5 Jahren. Zeitfenster-Analyse im modernen Allokations-Ära zeigte aHR 1,78 (95%-CI 1,19–2,65, p=0,005). Frauen hatten mehr nicht-ischämische Kardiomyopathie und höheren pulmonalen Vaskulären Widerstand baseline. Ursache: perioperative Komplikationen und Zeitmangel zur Vorbereitung, nicht längerfristige biologische oder immunologische Unterschiede.</w:t>
      </w:r>
    </w:p>
    <w:p>
      <w:r>
        <w:rPr>
          <w:b/>
          <w:sz w:val="19"/>
        </w:rPr>
        <w:t xml:space="preserve">Übertragbarkeit: </w:t>
      </w:r>
      <w:r>
        <w:rPr>
          <w:sz w:val="19"/>
        </w:rPr>
        <w:t>USA, aber Sicherheitsbefund zu perioperativem Risiko transkulturell übertragbar; Deutschland fehlen Transplantations-Register dieser Auflösung.</w:t>
      </w:r>
    </w:p>
    <w:p>
      <w:r>
        <w:rPr>
          <w:color w:val="5A7D3A"/>
          <w:sz w:val="18"/>
        </w:rPr>
        <w:t>https://pubmed.ncbi.nlm.nih.gov/42710970/</w:t>
      </w:r>
    </w:p>
    <w:p>
      <w:pPr>
        <w:pStyle w:val="Heading2"/>
      </w:pPr>
      <w:r>
        <w:t>Frauen mit Bronchiektasen berichten höhere körperliche Aktivität, können aber kürzere Strecken gehen</w:t>
      </w:r>
    </w:p>
    <w:p>
      <w:r>
        <w:rPr>
          <w:i/>
          <w:color w:val="666666"/>
          <w:sz w:val="18"/>
        </w:rPr>
        <w:t>Bhat A et al.  ·  PLoS One  ·  02.09.2026  ·  PMID 42685034</w:t>
      </w:r>
    </w:p>
    <w:p>
      <w:r>
        <w:t>Querschnittstudie an 55 stabilen Bronchiektasen-Patienten in Südindien mit Messung von selbstberichteter körperlicher Aktivität (IPAQ), Dyspnoe (mMRC), 6-Minuten-Gehstrecke (6MWD) und Lebensqualität.</w:t>
      </w:r>
    </w:p>
    <w:p>
      <w:r>
        <w:rPr>
          <w:b/>
        </w:rPr>
        <w:t xml:space="preserve">Ergebnis: </w:t>
      </w:r>
      <w:r>
        <w:t>Frauen kürzere absolute 6MWD (≈57 m weniger), aber kein Unterschied in Prozent-des-Vorhergesagten verglichen mit Männern. Frauen berichteten höhere selbstberichtete körperliche Aktivität (+1.350 MET-min/Woche). Reduzierte 6MWD korreliert mit höherem Alter, weiblichem Geschlecht, erhöhter Exazerbationsfrequenz, höherer Dyspnoe-Schwere und höherer radiologischer Schwere. Dyspnoe-Schwere und radiologische Schwere unabhängig vorhersagend für funktionelle Leistungsfähigkeit. Ursache: Diskrepanz zwischen selbstberichteter und objektiver Aktivität deutet auf Geschlechtsunterschiede in Wahrnehmung oder Messung hin, nicht auf biologische Responsivitätsunterschiede.</w:t>
      </w:r>
    </w:p>
    <w:p>
      <w:r>
        <w:rPr>
          <w:b/>
          <w:sz w:val="19"/>
        </w:rPr>
        <w:t xml:space="preserve">Übertragbarkeit: </w:t>
      </w:r>
      <w:r>
        <w:rPr>
          <w:sz w:val="19"/>
        </w:rPr>
        <w:t>Süd-Asien (Manipal, Indien); begrenzte Übertragbarkeit auf deutsches System, zeigt aber universelles Messbias-Problem bei Aktivitätsbewertung.</w:t>
      </w:r>
    </w:p>
    <w:p>
      <w:r>
        <w:rPr>
          <w:color w:val="5A7D3A"/>
          <w:sz w:val="18"/>
        </w:rPr>
        <w:t>https://pubmed.ncbi.nlm.nih.gov/42685034/</w:t>
      </w:r>
    </w:p>
    <w:p>
      <w:pPr>
        <w:pStyle w:val="Heading2"/>
      </w:pPr>
      <w:r>
        <w:t>Co-auftretende Stigmatisierung von HIV, Geschlechtlichkeit und Drogengebrauch beeinflusst mentale Gesundheit Jugendlicher in Kasachstan</w:t>
      </w:r>
    </w:p>
    <w:p>
      <w:r>
        <w:rPr>
          <w:i/>
          <w:color w:val="666666"/>
          <w:sz w:val="18"/>
        </w:rPr>
        <w:t>Gardner SD et al.  ·  Sex Health  ·  17.08.2026  ·  PMID 42289791</w:t>
      </w:r>
    </w:p>
    <w:p>
      <w:r>
        <w:t>Querschnittstudie an 216 HIV-negativen Jugendlichen und jungen Erwachsenen (116 Frauen, 110 Männer) in Almaty, Kasachstan mittels latenter Klassenanalyse der wahrgenommenen Stigmatisierung und psychischer Gesundheit.</w:t>
      </w:r>
    </w:p>
    <w:p>
      <w:r>
        <w:rPr>
          <w:b/>
        </w:rPr>
        <w:t xml:space="preserve">Ergebnis: </w:t>
      </w:r>
      <w:r>
        <w:t>Vier Stigmatisierungs-Klassen identifiziert: (1) niedrig alle Typen (26%); (2) niedrig HIV-Stigma, moderat Drogen- und Geschlechtsminoritäts-Stigma (44%); (3) moderat HIV- und Geschlechtsminoritäts-Stigma (9%); (4) hoch alle Typen (21%). Klasse 4 hatte höhere Odds für Geschlechtsminoritäts-Identifizierung (OR 2,70; 95%-CI 1,09–6,69), höhere Depression (M 13,88 vs. 9,00, p&lt;0,05) und Angst (M 9,00 vs. 5,2, p&lt;0,05) als Klasse 1. Klasse 2 2,47× höhere Odds für Tabakgebrauch und 2,06× für Alkoholkonsum. Ursache: Intersektionalität von Stigmatisierungsformen und Geschlechtsidentität, strukturell und psychologisch.</w:t>
      </w:r>
    </w:p>
    <w:p>
      <w:r>
        <w:rPr>
          <w:b/>
          <w:sz w:val="19"/>
        </w:rPr>
        <w:t xml:space="preserve">Übertragbarkeit: </w:t>
      </w:r>
      <w:r>
        <w:rPr>
          <w:sz w:val="19"/>
        </w:rPr>
        <w:t>Kasachstan (Mittelasien); begrenzte Übertragbarkeit auf Deutschland, da kulturelle Stigmatisierungsmuster unterschiedlich sind.</w:t>
      </w:r>
    </w:p>
    <w:p>
      <w:r>
        <w:rPr>
          <w:color w:val="5A7D3A"/>
          <w:sz w:val="18"/>
        </w:rPr>
        <w:t>https://pubmed.ncbi.nlm.nih.gov/42289791/</w:t>
      </w:r>
    </w:p>
    <w:p>
      <w:pPr>
        <w:pStyle w:val="Heading2"/>
      </w:pPr>
      <w:r>
        <w:t>Tiefenhirnstimulation bei Parkinson: Frauen älter, unter-behandelt, aber gleiche Erfolgsquoten</w:t>
      </w:r>
    </w:p>
    <w:p>
      <w:r>
        <w:rPr>
          <w:i/>
          <w:color w:val="666666"/>
          <w:sz w:val="18"/>
        </w:rPr>
        <w:t>Santos García D et al.  ·  Med Sci (Basel)  ·  27.04.2026  ·  PMID 42201009</w:t>
      </w:r>
    </w:p>
    <w:p>
      <w:r>
        <w:t>Prospektive Real-World-Registry-Studie zu 618 Parkinson-Patienten (57,6% Männer) mit gerätegestützter Therapie (DBS, Apomorphin-Pumpe, Levodopa-Infusion) an 40 spanischen Zentren.</w:t>
      </w:r>
    </w:p>
    <w:p>
      <w:r>
        <w:rPr>
          <w:b/>
        </w:rPr>
        <w:t xml:space="preserve">Ergebnis: </w:t>
      </w:r>
      <w:r>
        <w:t>Signifikante Geschlechtsdifferenz in DBS-Nutzung (73,1% Männer, p=0,006); Frauen älter bei Indikation (älter, höhere Levodopa-Äquivalenzdosis, schlechtere Lebensqualität und Aktivitäten des täglichen Lebens baseline). Nach 6 Monaten: OFF-Zeit sank, motorische und nicht-motorische Symptome sowie Lebensqualität verbesserten sich in beiden Gruppen; AADL-Verbesserung nur bei Männern im OFF-Zustand. Ursache: Therapiezugang (Selektion zu DBS bei Frauen geringer), nicht biologisch unterschiedliche Responsivität.</w:t>
      </w:r>
    </w:p>
    <w:p>
      <w:r>
        <w:rPr>
          <w:b/>
          <w:sz w:val="19"/>
        </w:rPr>
        <w:t xml:space="preserve">Übertragbarkeit: </w:t>
      </w:r>
      <w:r>
        <w:rPr>
          <w:sz w:val="19"/>
        </w:rPr>
        <w:t>Spanisches Register mit Dokumentationsstandards ähnlich Deutschland; zeigt Zuteilungsunterschiede bei etablierter Technologie.</w:t>
      </w:r>
    </w:p>
    <w:p>
      <w:r>
        <w:rPr>
          <w:color w:val="5A7D3A"/>
          <w:sz w:val="18"/>
        </w:rPr>
        <w:t>https://pubmed.ncbi.nlm.nih.gov/42201009/</w:t>
      </w:r>
    </w:p>
    <w:p>
      <w:pPr>
        <w:pStyle w:val="Heading2"/>
      </w:pPr>
      <w:r>
        <w:t>PrEP-Abbruchquoten unter Sexarbeiterinnen deutlich höher als bei Männern</w:t>
      </w:r>
    </w:p>
    <w:p>
      <w:r>
        <w:rPr>
          <w:i/>
          <w:color w:val="666666"/>
          <w:sz w:val="18"/>
        </w:rPr>
        <w:t>Valencia J et al.  ·  Int J Infect Dis  ·  25.05.2026  ·  PMID 42190938</w:t>
      </w:r>
    </w:p>
    <w:p>
      <w:r>
        <w:t>Prospektive Kohortenstudie zur PrEP-Adhärenz bei 189 Sexarbeitern in Madrid, stratifiziert nach Geschlecht und Geschlechtsidentität.</w:t>
      </w:r>
    </w:p>
    <w:p>
      <w:r>
        <w:rPr>
          <w:b/>
        </w:rPr>
        <w:t xml:space="preserve">Ergebnis: </w:t>
      </w:r>
      <w:r>
        <w:t>Cisgender-Frauen zeigten höchste Abbruchquote (20,8 pro 100 Personenmonate, medianes Halten 3,8 Monate), Cisgender-Männer (aHR 0,37; 95%-CI 0,21–0,62) und Trans-Frauen (aHR 0,30; 0,18–0,50) signifikant niedrigeres Abbruchrisiko. Wohnungsinstabilität unabhängig mit erhöhtem Abbruchrisiko assoziiert (aHR 1,91; 95%-CI 1,17–3,12). Ursache: strukturelle Barrieren für Cisgender-Frauen, nicht Biologie.</w:t>
      </w:r>
    </w:p>
    <w:p>
      <w:r>
        <w:rPr>
          <w:b/>
          <w:sz w:val="19"/>
        </w:rPr>
        <w:t xml:space="preserve">Übertragbarkeit: </w:t>
      </w:r>
      <w:r>
        <w:rPr>
          <w:sz w:val="19"/>
        </w:rPr>
        <w:t>Spanisches Gesundheitssystem mit Dokumentationspflichten vergleichbar mit Deutschland; Zugangsbarrieren für vulnerable Gruppen universell.</w:t>
      </w:r>
    </w:p>
    <w:p>
      <w:r>
        <w:rPr>
          <w:color w:val="5A7D3A"/>
          <w:sz w:val="18"/>
        </w:rPr>
        <w:t>https://pubmed.ncbi.nlm.nih.gov/42190938/</w:t>
      </w:r>
    </w:p>
    <w:p>
      <w:pPr>
        <w:pStyle w:val="Heading2"/>
      </w:pPr>
      <w:r>
        <w:t>Zentren für Frauenherzkrankheiten reduzieren Versorgungsungleichheiten bei Herzinfarkt</w:t>
      </w:r>
    </w:p>
    <w:p>
      <w:r>
        <w:rPr>
          <w:i/>
          <w:color w:val="666666"/>
          <w:sz w:val="18"/>
        </w:rPr>
        <w:t>Grapsa J et al.  ·  Eur Heart J  ·  03.08.2026  ·  PMID 42189053</w:t>
      </w:r>
    </w:p>
    <w:p>
      <w:r>
        <w:t>European consensus statement zur Etablierung von Frauenherzzentern als Struktur zur Reduktion diagnostischer und therapeutischer Disparitäten in der Kardiologie.</w:t>
      </w:r>
    </w:p>
    <w:p>
      <w:r>
        <w:rPr>
          <w:b/>
        </w:rPr>
        <w:t xml:space="preserve">Ergebnis: </w:t>
      </w:r>
      <w:r>
        <w:t>Frauen haben höhere kardiovaskuläre Mortalität und erhalten weniger diagnostische Tests und Interventionen als Männer; spezialisierte Frauenherzenzentren zeigen verbesserte diagnostische Genauigkeit, bessere Risikofaktorkontrolle und höhere Patientenzufriedenheit, ohne dass langfristige Outcome-Daten zur Mortalitätsreduktion vorliegen. Strukturelle Massnahme zur Reduktion eines bekannten Unterschieds.</w:t>
      </w:r>
    </w:p>
    <w:p>
      <w:r>
        <w:rPr>
          <w:b/>
          <w:sz w:val="19"/>
        </w:rPr>
        <w:t xml:space="preserve">Übertragbarkeit: </w:t>
      </w:r>
      <w:r>
        <w:rPr>
          <w:sz w:val="19"/>
        </w:rPr>
        <w:t>Europäisches Konsensus-Statement; Übertragbarkeit auf deutsches System mit vergleichbarer Kardiologie-Struktur gegeben.</w:t>
      </w:r>
    </w:p>
    <w:p>
      <w:r>
        <w:rPr>
          <w:color w:val="5A7D3A"/>
          <w:sz w:val="18"/>
        </w:rPr>
        <w:t>https://pubmed.ncbi.nlm.nih.gov/42189053/</w:t>
      </w:r>
    </w:p>
    <w:p>
      <w:pPr>
        <w:pStyle w:val="Heading1"/>
      </w:pPr>
      <w:r>
        <w:t>Aufgenommen am 08.09.2026</w:t>
      </w:r>
    </w:p>
    <w:p>
      <w:pPr>
        <w:pStyle w:val="Heading2"/>
      </w:pPr>
      <w:r>
        <w:t>CT-FFR-gesteuerte Diagnostik bei stabiler KHK – unterschiedliche Effekte bei Frauen und Männern</w:t>
      </w:r>
    </w:p>
    <w:p>
      <w:r>
        <w:rPr>
          <w:i/>
          <w:color w:val="666666"/>
          <w:sz w:val="18"/>
        </w:rPr>
        <w:t>Ding Y et al.  ·  EuroIntervention  ·  07.09.2026  ·  PMID 42703765</w:t>
      </w:r>
    </w:p>
    <w:p>
      <w:r>
        <w:t>Subgruppen-Analyse der TARGET-Studie (1.216 Patienten) untersucht, ob CT-FFR-Führung bei stabiler KHK geschlechtsspezifische Unterschiede in invasiver Angiographie, Revaskularisierung und 2-Jahres-Outcome zeigt.</w:t>
      </w:r>
    </w:p>
    <w:p>
      <w:r>
        <w:rPr>
          <w:b/>
        </w:rPr>
        <w:t xml:space="preserve">Ergebnis: </w:t>
      </w:r>
      <w:r>
        <w:t>Frauen waren älter (62,3±8,1 vs. 58,2±10,7 Jahre, p&lt;0,001), vergleichbare anatomische KHK-Schwere. CT-FFR-Führung senkte ICA ohne obstruktive KHK und erhöhte frühe Revaskularisierung bei Männern, nicht bei Frauen. Nach 2 Jahren: CT-FFR-Führung assoziiert mit niedrigerer MACE-Rate bei Frauen (adj. HR 0,48, 95% KI 0,27–0,87, p=0,015) vs. Standardversorgung, aber kein Unterschied bei Männern (adj. HR 0,89, 95% KI 0,59–1,33, p=0,574). Autoren betonen: Keine signifikante Sex-×-Behandlungs-Interaktion; Befunde sind explorativ. Vermutlich Biologie (weniger obstruktive Plättchen bei Frauen) + Zugang (Katheterisierung wird bei Frauen zu viel vermieden).</w:t>
      </w:r>
    </w:p>
    <w:p>
      <w:r>
        <w:rPr>
          <w:b/>
          <w:sz w:val="19"/>
        </w:rPr>
        <w:t xml:space="preserve">Übertragbarkeit: </w:t>
      </w:r>
      <w:r>
        <w:rPr>
          <w:sz w:val="19"/>
        </w:rPr>
        <w:t>Interventionelle Kardiologie; Frauen mit mikrovaskularem Leiden, vergleichbar mit Deutschland</w:t>
      </w:r>
    </w:p>
    <w:p>
      <w:r>
        <w:rPr>
          <w:color w:val="5A7D3A"/>
          <w:sz w:val="18"/>
        </w:rPr>
        <w:t>https://pubmed.ncbi.nlm.nih.gov/42703765/</w:t>
      </w:r>
    </w:p>
    <w:p>
      <w:pPr>
        <w:pStyle w:val="Heading2"/>
      </w:pPr>
      <w:r>
        <w:t>Multiple-Sklerose-Last in Italien – regionale Gradienten und Geschlechtsmuster</w:t>
      </w:r>
    </w:p>
    <w:p>
      <w:r>
        <w:rPr>
          <w:i/>
          <w:color w:val="666666"/>
          <w:sz w:val="18"/>
        </w:rPr>
        <w:t>Brigo F et al.  ·  Mult Scler Relat Disord  ·  28.08.2026  ·  PMID 42664643</w:t>
      </w:r>
    </w:p>
    <w:p>
      <w:r>
        <w:t>Analyse der Global Burden of Disease-Daten 1990–2023 untersucht, wie sich die MS-Last in Italien regional und nach Geschlecht verschoben hat – von vorzeitiger Mortalität zu Langzeit-Behinderung.</w:t>
      </w:r>
    </w:p>
    <w:p>
      <w:r>
        <w:rPr>
          <w:b/>
        </w:rPr>
        <w:t xml:space="preserve">Ergebnis: </w:t>
      </w:r>
      <w:r>
        <w:t>DALY-Raten stiegen in allen Makroregionen; steilster Anstieg in Sardinien und Süditalien. YLDs wuchsen schneller als YLLs überall, was einen Verschiebung zu behinderungsgeprägter Last bestätigt. Geschlechtliche Unterschiede waren kleiner als geografische Unterschiede (kein genaues Geschlechtsverhältnis beziffert). Signifikante Heterogenität über Makroregionen hinweg.</w:t>
      </w:r>
    </w:p>
    <w:p>
      <w:r>
        <w:rPr>
          <w:b/>
          <w:sz w:val="19"/>
        </w:rPr>
        <w:t xml:space="preserve">Übertragbarkeit: </w:t>
      </w:r>
      <w:r>
        <w:rPr>
          <w:sz w:val="19"/>
        </w:rPr>
        <w:t>Italien, IHME-Schätzungen; Geschlechtsunterschiede klein, geografische Variation dominiert</w:t>
      </w:r>
    </w:p>
    <w:p>
      <w:r>
        <w:rPr>
          <w:color w:val="5A7D3A"/>
          <w:sz w:val="18"/>
        </w:rPr>
        <w:t>https://pubmed.ncbi.nlm.nih.gov/42664643/</w:t>
      </w:r>
    </w:p>
    <w:p>
      <w:pPr>
        <w:pStyle w:val="Heading2"/>
      </w:pPr>
      <w:r>
        <w:t>Hausärztliche Leistungsanpassung sinkt bei Frauen – Kinderverantwortung erklärt den Unterschied</w:t>
      </w:r>
    </w:p>
    <w:p>
      <w:r>
        <w:rPr>
          <w:i/>
          <w:color w:val="666666"/>
          <w:sz w:val="18"/>
        </w:rPr>
        <w:t>Paraponaris A et al.  ·  Health Policy  ·  07.08.2026  ·  PMID 42594604</w:t>
      </w:r>
    </w:p>
    <w:p>
      <w:r>
        <w:t>Französische Panels von 2.898 selbstständigen Hausärztinnen und Hausärzten zeigen, wie diese ihre Arbeitsleistung bei sinkendem lokalen Ärztinnen-/Ärztedichte anpassen – mit Fokus auf Unterschiede nach Geschlecht und Familiensituation.</w:t>
      </w:r>
    </w:p>
    <w:p>
      <w:r>
        <w:rPr>
          <w:b/>
        </w:rPr>
        <w:t xml:space="preserve">Ergebnis: </w:t>
      </w:r>
      <w:r>
        <w:t>Bei 10% Rückgang der Ärztedichte stiegen die privaten Praxiseinkommen um 1,7–1,8% (p&lt;0,01). Männliche Ärzte erhöhten ihre Einkommen um etwa 2,2% (p&lt;0,01), weibliche Ärzte insgesamt nicht signifikant. Ohne Kinder reagierten Frauen (+1,9%) und Männer (+2,4%) ähnlich (beide p&lt;0,01). Geschlechtsunterschiede in der Leistungsanpassung sind primär auf ungleiche Familienverantwortung während der Kindererziehung zurückzuführen, nicht auf Geschlecht selbst.</w:t>
      </w:r>
    </w:p>
    <w:p>
      <w:r>
        <w:rPr>
          <w:b/>
          <w:sz w:val="19"/>
        </w:rPr>
        <w:t xml:space="preserve">Übertragbarkeit: </w:t>
      </w:r>
      <w:r>
        <w:rPr>
          <w:sz w:val="19"/>
        </w:rPr>
        <w:t>Frankreich, Steuerdaten-Panel; Gatekeeping-System unterscheidet sich von Deutschland</w:t>
      </w:r>
    </w:p>
    <w:p>
      <w:r>
        <w:rPr>
          <w:color w:val="5A7D3A"/>
          <w:sz w:val="18"/>
        </w:rPr>
        <w:t>https://pubmed.ncbi.nlm.nih.gov/42594604/</w:t>
      </w:r>
    </w:p>
    <w:p>
      <w:pPr>
        <w:pStyle w:val="Heading2"/>
      </w:pPr>
      <w:r>
        <w:t>Obere Atemwegsinfekte – Stress und Geschlecht erklären Symptombürde unterschiedlich</w:t>
      </w:r>
    </w:p>
    <w:p>
      <w:r>
        <w:rPr>
          <w:i/>
          <w:color w:val="666666"/>
          <w:sz w:val="18"/>
        </w:rPr>
        <w:t>Rüthrich MM et al.  ·  BMC Public Health  ·  30.05.2026  ·  PMID 42218391</w:t>
      </w:r>
    </w:p>
    <w:p>
      <w:r>
        <w:t>Deutsche Studie an 273 Gesunden und 194 Stammzelltransplantations-Empfängern untersucht, ob Frauen höhere Stresslevels aufweisen, die ihre erhöhte Anfälligkeit und Symptombelastung bei Atemwegsinfekten erklären.</w:t>
      </w:r>
    </w:p>
    <w:p>
      <w:r>
        <w:rPr>
          <w:b/>
        </w:rPr>
        <w:t xml:space="preserve">Ergebnis: </w:t>
      </w:r>
      <w:r>
        <w:t>Kohort Gesund (50% Frauen, meist ≤30 Jahre): Frauen berichteten mehr moderate/schwere URTI-Symptome als Männer (57% vs. 36%, p&lt;0,001, φ=0,210) und höhere PSS-4-Werte [t(271)=2,84, p&lt;0,001, d=0,636]. Stress korrelierte bei Frauen schwach mit Symptomen (r=0,15, p=0,04). Kohort Immungeschwächt (40,5% Frauen, meist ≥30 Jahre): Männer berichteten mehr Symptome (83% vs. 68%, p=0,021); PSS-4 unterschied sich nicht nach Geschlecht. Stress–Symptom-Korrelation war stärker (r=0,293, p&lt;0,001), besonders bei Frauen (r=0,385, p&lt;0,001). Beziehung zwischen Geschlecht, Stress und Symptomen ist gesundheitsstatus-abhängig; Biologie + Psyche.</w:t>
      </w:r>
    </w:p>
    <w:p>
      <w:r>
        <w:rPr>
          <w:b/>
          <w:sz w:val="19"/>
        </w:rPr>
        <w:t xml:space="preserve">Übertragbarkeit: </w:t>
      </w:r>
      <w:r>
        <w:rPr>
          <w:sz w:val="19"/>
        </w:rPr>
        <w:t>Deutschland, Klinikstudien aus Jena/Charité; geschlechtsspezifische Stressphysiologie</w:t>
      </w:r>
    </w:p>
    <w:p>
      <w:r>
        <w:rPr>
          <w:color w:val="5A7D3A"/>
          <w:sz w:val="18"/>
        </w:rPr>
        <w:t>https://pubmed.ncbi.nlm.nih.gov/42218391/</w:t>
      </w:r>
    </w:p>
    <w:p>
      <w:pPr>
        <w:pStyle w:val="Heading2"/>
      </w:pPr>
      <w:r>
        <w:t>Diabetes-Prävalenz und Ungleichheit in Europa – Geschlecht und Sozialstatus</w:t>
      </w:r>
    </w:p>
    <w:p>
      <w:r>
        <w:rPr>
          <w:i/>
          <w:color w:val="666666"/>
          <w:sz w:val="18"/>
        </w:rPr>
        <w:t>Andrade CAS et al.  ·  Sci Rep  ·  29.05.2026  ·  PMID 42215567</w:t>
      </w:r>
    </w:p>
    <w:p>
      <w:r>
        <w:t>SHARE-Daten von 13 europäischen Ländern 2010–2019 analysieren geschlechtsgespaltete nationale und subnationale Unterschiede in selbstberichteter Diabetes-Prävalenz und deren sozioökonomische Treiber.</w:t>
      </w:r>
    </w:p>
    <w:p>
      <w:r>
        <w:rPr>
          <w:b/>
        </w:rPr>
        <w:t xml:space="preserve">Ergebnis: </w:t>
      </w:r>
      <w:r>
        <w:t>Diabetes-Prävalenz sank von 11% (2010/11) auf 10,6% (2019); von 5,9% in der Schweiz bis 16,7% in Tschechien. Subnationale Spannweite: 2,1% bis 28,5%. Gini-Koeffizient stieg von 21,9% auf 22,5%; Schweiz zeigte höchsten Wert [30,1% (95% KI 7,9–41,7)]. Bildungs- und Einkommens-Konzentrationsindizes waren konsistent niedrig und überwiegend negativ (Ungleichheit zugunsten niedriger Sozialgruppen). Urbanisierung zeigte gemischte Muster (p&gt;0,05).</w:t>
      </w:r>
    </w:p>
    <w:p>
      <w:r>
        <w:rPr>
          <w:b/>
          <w:sz w:val="19"/>
        </w:rPr>
        <w:t xml:space="preserve">Übertragbarkeit: </w:t>
      </w:r>
      <w:r>
        <w:rPr>
          <w:sz w:val="19"/>
        </w:rPr>
        <w:t>13 europäische Länder, SHARE-Kohorte; hohe Vergleichbarkeit mit Deutschland</w:t>
      </w:r>
    </w:p>
    <w:p>
      <w:r>
        <w:rPr>
          <w:color w:val="5A7D3A"/>
          <w:sz w:val="18"/>
        </w:rPr>
        <w:t>https://pubmed.ncbi.nlm.nih.gov/42215567/</w:t>
      </w:r>
    </w:p>
    <w:p>
      <w:pPr>
        <w:pStyle w:val="Heading2"/>
      </w:pPr>
      <w:r>
        <w:t>Alkoholkonsum und Lebererkrankung – Frauen zeigen geschlechtsspezifische biologische Anfälligkeit</w:t>
      </w:r>
    </w:p>
    <w:p>
      <w:r>
        <w:rPr>
          <w:i/>
          <w:color w:val="666666"/>
          <w:sz w:val="18"/>
        </w:rPr>
        <w:t>Fang L et al.  ·  Cancer Epidemiol  ·  02.06.2026  ·  PMID 42214924</w:t>
      </w:r>
    </w:p>
    <w:p>
      <w:r>
        <w:t>UK-Biobank-Kohortenstudie mit Plasmaproteomik untersucht, ob Geschlecht die Beziehung zwischen Alkoholdosis und alkoholassoziierter Lebererkrankung (ALD) sowie Krebs modifiziert und welche biologischen Mediatoren dies erklären.</w:t>
      </w:r>
    </w:p>
    <w:p>
      <w:r>
        <w:rPr>
          <w:b/>
        </w:rPr>
        <w:t xml:space="preserve">Ergebnis: </w:t>
      </w:r>
      <w:r>
        <w:t>Nach 13,8 Jahren Follow-up: Jede 70 g/Woche Alkoholzuwachs assoziiert mit HR 1,21 (95% KI 1,19–1,23) für ALD bei Frauen vs. HR 1,06 (95% KI 1,05–1,07) bei Männern (p für Interaktion &lt;0,001). Frauen zeigten 2,8-fach höheres ALD-Risiko bei 200 g/Woche. Proteomik identifizierte unterschiedliche Mediatoren: Männer zeigen pro-inflammatorische Pathways (MAPK, NF-κB), Frauen Zelladhäsion und PI3K-Akt-Wege. Biologie erklärt unterschiedliche Alkohelvulnerabilität zwischen Geschlechtern.</w:t>
      </w:r>
    </w:p>
    <w:p>
      <w:r>
        <w:rPr>
          <w:b/>
          <w:sz w:val="19"/>
        </w:rPr>
        <w:t xml:space="preserve">Übertragbarkeit: </w:t>
      </w:r>
      <w:r>
        <w:rPr>
          <w:sz w:val="19"/>
        </w:rPr>
        <w:t>UK-Biobank, vergleichbar mit Deutschland; biologische Mechanismen, nicht Zugang</w:t>
      </w:r>
    </w:p>
    <w:p>
      <w:r>
        <w:rPr>
          <w:color w:val="5A7D3A"/>
          <w:sz w:val="18"/>
        </w:rPr>
        <w:t>https://pubmed.ncbi.nlm.nih.gov/42214924/</w:t>
      </w:r>
    </w:p>
    <w:p>
      <w:pPr>
        <w:pStyle w:val="Heading2"/>
      </w:pPr>
      <w:r>
        <w:t>Fertilitätsschutz bei Transgender-Personen in Italien – Beratung mangelhaft, Reue häufig</w:t>
      </w:r>
    </w:p>
    <w:p>
      <w:r>
        <w:rPr>
          <w:i/>
          <w:color w:val="666666"/>
          <w:sz w:val="18"/>
        </w:rPr>
        <w:t>Azzi M et al.  ·  J Sex Marital Ther  ·  29.05.2026  ·  PMID 42212866</w:t>
      </w:r>
    </w:p>
    <w:p>
      <w:r>
        <w:t>Italienische Querschnittsstudie (n=548) untersucht Einstellungen zur Fertilitätserhaltung, Beratungsqualität und Entscheidungsreue bei Transgender/nicht-binären Personen nach hormoneller Geschlechtsangleichung.</w:t>
      </w:r>
    </w:p>
    <w:p>
      <w:r>
        <w:rPr>
          <w:b/>
        </w:rPr>
        <w:t xml:space="preserve">Ergebnis: </w:t>
      </w:r>
      <w:r>
        <w:t>Fertilitätsschutz-Uptake 4,6% (21 von 548); nur 1 Person nutzte später Gameten. Beratung zur Fertilitätserhaltung wurde nicht systematisch angeboten und oft als suboptimal wahrgenommen. Unter 373 mit Decision Regret Scale-Ausfüllung: 67,3% berichteten Entscheidungsreue – assoziiert mit aktuellem Wunsch nach Familie (p&lt;10⁻⁴) und niedrigerer Zufriedenheit mit Arbeitsbedingungen zum Zeitpunkt der FP-Entscheidung (p=0,018). Lücken im System, keine strukturierte hochwertige Beratung. Zugang-/Informationsproblem, nicht Biologie.</w:t>
      </w:r>
    </w:p>
    <w:p>
      <w:r>
        <w:rPr>
          <w:b/>
          <w:sz w:val="19"/>
        </w:rPr>
        <w:t xml:space="preserve">Übertragbarkeit: </w:t>
      </w:r>
      <w:r>
        <w:rPr>
          <w:sz w:val="19"/>
        </w:rPr>
        <w:t>Italien, Primärquellen-Erhebung; ähnlich in deutschsprachigem Raum</w:t>
      </w:r>
    </w:p>
    <w:p>
      <w:r>
        <w:rPr>
          <w:color w:val="5A7D3A"/>
          <w:sz w:val="18"/>
        </w:rPr>
        <w:t>https://pubmed.ncbi.nlm.nih.gov/42212866/</w:t>
      </w:r>
    </w:p>
    <w:p>
      <w:pPr>
        <w:pStyle w:val="Heading1"/>
      </w:pPr>
      <w:r>
        <w:t>Aufgenommen am 07.09.2026</w:t>
      </w:r>
    </w:p>
    <w:p>
      <w:pPr>
        <w:pStyle w:val="Heading2"/>
      </w:pPr>
      <w:r>
        <w:t>Gemeindliche Gesundheitserziehung senkt Unterernährung von Kindern um 78 Prozent</w:t>
      </w:r>
    </w:p>
    <w:p>
      <w:r>
        <w:rPr>
          <w:i/>
          <w:color w:val="666666"/>
          <w:sz w:val="18"/>
        </w:rPr>
        <w:t>Zakar R et al.  ·  BMC Public Health  ·  29.08.2026  ·  PMID 42668377</w:t>
      </w:r>
    </w:p>
    <w:p>
      <w:r>
        <w:t>Pakistanische Evaluationsstudie mit 253 Frauen und 371 Kindern vor sowie 222 Müttern und 318 Kindern nach Intervention eines Bildungsmoduls über vier Phasen in urbaner Siedlung.</w:t>
      </w:r>
    </w:p>
    <w:p>
      <w:r>
        <w:rPr>
          <w:b/>
        </w:rPr>
        <w:t xml:space="preserve">Ergebnis: </w:t>
      </w:r>
      <w:r>
        <w:t>Unterernährungsprävalenz sank von 28% auf 6% (p&lt;0,001 für Längenwachstum, Gewicht und Kopfumfang). Mütter-BMI stieg signifikant (p=0,002), Anämie blieb unverändert. Gemeinsame Entscheidungen zur Verhütung nahmen zu (p&lt;0,001), Zugangsbarrieren sanken. Intervention zeigt: Geschlechtergerechte Elternschulung ändert Versorgungsergebnisse bei Mangelernährung.</w:t>
      </w:r>
    </w:p>
    <w:p>
      <w:r>
        <w:rPr>
          <w:b/>
          <w:sz w:val="19"/>
        </w:rPr>
        <w:t xml:space="preserve">Übertragbarkeit: </w:t>
      </w:r>
      <w:r>
        <w:rPr>
          <w:sz w:val="19"/>
        </w:rPr>
        <w:t>Pakistan, aber Methodik (partizipative Elternschulung) auf ressourcenärmere deutsche Settings übertragbar.</w:t>
      </w:r>
    </w:p>
    <w:p>
      <w:r>
        <w:rPr>
          <w:color w:val="5A7D3A"/>
          <w:sz w:val="18"/>
        </w:rPr>
        <w:t>https://pubmed.ncbi.nlm.nih.gov/42668377/</w:t>
      </w:r>
    </w:p>
    <w:p>
      <w:pPr>
        <w:pStyle w:val="Heading2"/>
      </w:pPr>
      <w:r>
        <w:t>Emotionsregulation und Empathie senken Kindesmisshandlungs-Risiko unterschiedlich bei Vätern und Müttern</w:t>
      </w:r>
    </w:p>
    <w:p>
      <w:r>
        <w:rPr>
          <w:i/>
          <w:color w:val="666666"/>
          <w:sz w:val="18"/>
        </w:rPr>
        <w:t>Miragoli S et al.  ·  J Interpers Violence  ·  16.07.2026  ·  PMID 42464521</w:t>
      </w:r>
    </w:p>
    <w:p>
      <w:r>
        <w:t>Italienische Gemeindestudie mit 110 Vätern und 149 Müttern (Kinder 6–14 Jahre) zu Zusammenhängen von Emotionsregulation, Empathie und Kindesmisshandlungsrisiko (Child Abuse Potential, CAP) mit Geschlechterdifferenzen.</w:t>
      </w:r>
    </w:p>
    <w:p>
      <w:r>
        <w:rPr>
          <w:b/>
        </w:rPr>
        <w:t xml:space="preserve">Ergebnis: </w:t>
      </w:r>
      <w:r>
        <w:t>Bei Vätern moderierte Mangel an Perspektivenübernahme den Effekt von Impulskontrollschwäche auf CAP. Bei Müttern moderierte empathische Sorge den Effekt von Emotionserkennungsschwäche und mangelndem emotionalen Bewusstsein auf CAP (alle p&lt;0,05). Pflegeverhalten wird durch unterschiedliche psychische Faktoren bei Männern und Frauen gefährdet. Intervention: müsste bei Vätern Perspektivenübernahme, bei Müttern emotionale Kompetenz stärken.</w:t>
      </w:r>
    </w:p>
    <w:p>
      <w:r>
        <w:rPr>
          <w:b/>
          <w:sz w:val="19"/>
        </w:rPr>
        <w:t xml:space="preserve">Übertragbarkeit: </w:t>
      </w:r>
      <w:r>
        <w:rPr>
          <w:sz w:val="19"/>
        </w:rPr>
        <w:t>Italien; Mechanismus zu elterlichem Risiko übertragbar, da psychosozial bedingt.</w:t>
      </w:r>
    </w:p>
    <w:p>
      <w:r>
        <w:rPr>
          <w:color w:val="5A7D3A"/>
          <w:sz w:val="18"/>
        </w:rPr>
        <w:t>https://pubmed.ncbi.nlm.nih.gov/42464521/</w:t>
      </w:r>
    </w:p>
    <w:p>
      <w:pPr>
        <w:pStyle w:val="Heading2"/>
      </w:pPr>
      <w:r>
        <w:t>Sexuelle Minderheiten erwarten LGBTQIA+-freundliche Pflegeheime deutlich häufiger</w:t>
      </w:r>
    </w:p>
    <w:p>
      <w:r>
        <w:rPr>
          <w:i/>
          <w:color w:val="666666"/>
          <w:sz w:val="18"/>
        </w:rPr>
        <w:t>Hajek A et al.  ·  J Am Med Dir Assoc  ·  06.07.2026  ·  PMID 42407223</w:t>
      </w:r>
    </w:p>
    <w:p>
      <w:r>
        <w:t>Deutsche repräsentative Bevölkerungsbefragung mit 2.518 Bürgern (Altersspanne 18–74 Jahre, 8,7% sexuelle Minderheiten) zu Erwartungen an künftige stationäre Pflege.</w:t>
      </w:r>
    </w:p>
    <w:p>
      <w:r>
        <w:rPr>
          <w:b/>
        </w:rPr>
        <w:t xml:space="preserve">Ergebnis: </w:t>
      </w:r>
      <w:r>
        <w:t>Sexuelle Minderheiten bewerteten Toleranz gegenüber LGBTQIA+ (β=1,44; p&lt;0,001), LGBTQIA+-freundliche Dienste (β=1,15; p&lt;0,001) und Offenheit für deren Anliegen (β=1,29; p&lt;0,001) als deutlich wichtiger als Heterosexuelle. Unterschiede besonders ausgeprägt zwischen Heterosexuellen und Homosexuellen. Zugang zur Versorgung: sexuelle Minderheiten fürchten Diskriminierung und verlangen explizit inklusive Rahmenbedingungen.</w:t>
      </w:r>
    </w:p>
    <w:p>
      <w:r>
        <w:rPr>
          <w:b/>
          <w:sz w:val="19"/>
        </w:rPr>
        <w:t xml:space="preserve">Übertragbarkeit: </w:t>
      </w:r>
      <w:r>
        <w:rPr>
          <w:sz w:val="19"/>
        </w:rPr>
        <w:t>Deutschland, eigene Daten; direkte Relevanz für Altenpflege-Planung.</w:t>
      </w:r>
    </w:p>
    <w:p>
      <w:r>
        <w:rPr>
          <w:color w:val="5A7D3A"/>
          <w:sz w:val="18"/>
        </w:rPr>
        <w:t>https://pubmed.ncbi.nlm.nih.gov/42407223/</w:t>
      </w:r>
    </w:p>
    <w:p>
      <w:pPr>
        <w:pStyle w:val="Heading2"/>
      </w:pPr>
      <w:r>
        <w:t>Unattended Blutdruckmessung zeigt höhere Genauigkeit für Frauen mit unkontrollierter Hypertonie</w:t>
      </w:r>
    </w:p>
    <w:p>
      <w:r>
        <w:rPr>
          <w:i/>
          <w:color w:val="666666"/>
          <w:sz w:val="18"/>
        </w:rPr>
        <w:t>Fucile I et al.  ·  High Blood Press Cardiovasc Prev  ·  13.04.2026  ·  PMID 42228045</w:t>
      </w:r>
    </w:p>
    <w:p>
      <w:r>
        <w:t>Italienische Hypertonie-Studie mit 307 Patienten (48% Frauen) vergleicht unüberwachte, überwachte und ambulante Blutdruckmessungen gegen 24-Stunden-Monitoring zur Diagnosegenauigkeit.</w:t>
      </w:r>
    </w:p>
    <w:p>
      <w:r>
        <w:rPr>
          <w:b/>
        </w:rPr>
        <w:t xml:space="preserve">Ergebnis: </w:t>
      </w:r>
      <w:r>
        <w:t>Die unbeaufsichtigte Messung identifizierte unkontrollierte Hypertonie genauer als die begleitete (AUC 0,71 vs. 0,65; p&lt;0,05). Bei Frauen war der Unterschied deutlicher (AUC 0,712 vs. 0,620; p&lt;0,05), weil die Weisskittelhypertonie-Verfälschung bei ihnen stärker ausfiel. Ursache: unterschiedliche emotionale Reaktion auf klinische Messung.</w:t>
      </w:r>
    </w:p>
    <w:p>
      <w:r>
        <w:rPr>
          <w:b/>
          <w:sz w:val="19"/>
        </w:rPr>
        <w:t xml:space="preserve">Übertragbarkeit: </w:t>
      </w:r>
      <w:r>
        <w:rPr>
          <w:sz w:val="19"/>
        </w:rPr>
        <w:t>Italien, vergleichbares Gesundheitssystem; Befund zu Messmethode übertragbar auf Deutschland.</w:t>
      </w:r>
    </w:p>
    <w:p>
      <w:r>
        <w:rPr>
          <w:color w:val="5A7D3A"/>
          <w:sz w:val="18"/>
        </w:rPr>
        <w:t>https://pubmed.ncbi.nlm.nih.gov/42228045/</w:t>
      </w:r>
    </w:p>
    <w:p>
      <w:pPr>
        <w:pStyle w:val="Heading2"/>
      </w:pPr>
      <w:r>
        <w:t>Eisenspeicher beeinflussen Stoffwechselrisiko bei Männern und Frauen unterschiedlich</w:t>
      </w:r>
    </w:p>
    <w:p>
      <w:r>
        <w:rPr>
          <w:i/>
          <w:color w:val="666666"/>
          <w:sz w:val="18"/>
        </w:rPr>
        <w:t>Li W et al.  ·  Front Endocrinol (Lausanne)  ·  15.05.2026  ·  PMID 42222086</w:t>
      </w:r>
    </w:p>
    <w:p>
      <w:r>
        <w:t>Schwedische Querschnittstudie (SCAPIS) mit 1.272 Personen (640 Männer, 632 Frauen, mittleres Alter) zu Geschlechtsunterschieden in Eisenbiomarkern und Herz-Kreislauf-Risikofaktoren.</w:t>
      </w:r>
    </w:p>
    <w:p>
      <w:r>
        <w:rPr>
          <w:b/>
        </w:rPr>
        <w:t xml:space="preserve">Ergebnis: </w:t>
      </w:r>
      <w:r>
        <w:t>Männer hatten höhere Eisenspeicher als prä- und postmenopausale Frauen. Hyperferritinämie trat bei 21,6% der Männer vs. 12,0% der Frauen auf (p&lt;0,01); Metabolisches Syndrom bei 34,5% vs. 24,6% (p&lt;0,01). BMI, Alkoholkonsum, LDL und Triglyzeride korrelierte mit Ferritin bei beiden Geschlechtern. Nur bei Frauen: Alter und Bluthochdruck assoziiert mit Ferritinwert. Ursache: Geschlechtsunterschiede in Eisenmetabolismus biologisch bedingt, werden aber klinisch unterschiedlich relevant.</w:t>
      </w:r>
    </w:p>
    <w:p>
      <w:r>
        <w:rPr>
          <w:b/>
          <w:sz w:val="19"/>
        </w:rPr>
        <w:t xml:space="preserve">Übertragbarkeit: </w:t>
      </w:r>
      <w:r>
        <w:rPr>
          <w:sz w:val="19"/>
        </w:rPr>
        <w:t>Schweden, skandinavisches Registersystem; Befund zu Biomarkern übertragbar auf deutsche Prävention.</w:t>
      </w:r>
    </w:p>
    <w:p>
      <w:r>
        <w:rPr>
          <w:color w:val="5A7D3A"/>
          <w:sz w:val="18"/>
        </w:rPr>
        <w:t>https://pubmed.ncbi.nlm.nih.gov/42222086/</w:t>
      </w:r>
    </w:p>
    <w:p>
      <w:pPr>
        <w:pStyle w:val="Heading2"/>
      </w:pPr>
      <w:r>
        <w:t>Geschlechtsunterschiede und Klassenungleichheit prägen selbstbewertete Gesundheit unterschiedlich</w:t>
      </w:r>
    </w:p>
    <w:p>
      <w:r>
        <w:rPr>
          <w:i/>
          <w:color w:val="666666"/>
          <w:sz w:val="18"/>
        </w:rPr>
        <w:t>Gumà-Lao J et al.  ·  Int J Equity Health  ·  29.05.2026  ·  PMID 42216170</w:t>
      </w:r>
    </w:p>
    <w:p>
      <w:r>
        <w:t>Spanische Querschnittstudie mit 10.210 Erwachsenen (30–60 Jahre) aus der Nationalen Gesundheitserhebung 2023; Entscheidungsbäume analysieren Schnittmengen von Geschlecht und sozialer Klasse bei selbstbewerteter Gesundheit.</w:t>
      </w:r>
    </w:p>
    <w:p>
      <w:r>
        <w:rPr>
          <w:b/>
        </w:rPr>
        <w:t xml:space="preserve">Ergebnis: </w:t>
      </w:r>
      <w:r>
        <w:t>Entscheidungsbäume unterschieden sich signifikant nach intersektionaler Gruppe: weniger qualifizierte Gruppen zeigten komplexere Bäume, d.h. schnellere Ansammlung chronischer Krankheiten in jüngeren Jahren. Schicht und Geschlecht beeinflussen nicht linear, sondern in einzigartigen Kombinationen die Wahrnehmung von Gesundheit. Mechanismus: soziale Determinanten plus Geschlechtsrollen zusammen.</w:t>
      </w:r>
    </w:p>
    <w:p>
      <w:r>
        <w:rPr>
          <w:b/>
          <w:sz w:val="19"/>
        </w:rPr>
        <w:t xml:space="preserve">Übertragbarkeit: </w:t>
      </w:r>
      <w:r>
        <w:rPr>
          <w:sz w:val="19"/>
        </w:rPr>
        <w:t>Spanien, südeuropäisches Gesundheitssystem; Intersektionalitäts-Methodik für Deutschland bedeutsam.</w:t>
      </w:r>
    </w:p>
    <w:p>
      <w:r>
        <w:rPr>
          <w:color w:val="5A7D3A"/>
          <w:sz w:val="18"/>
        </w:rPr>
        <w:t>https://pubmed.ncbi.nlm.nih.gov/42216170/</w:t>
      </w:r>
    </w:p>
    <w:p>
      <w:pPr>
        <w:pStyle w:val="Heading1"/>
      </w:pPr>
      <w:r>
        <w:t>Aufgenommen am 06.09.2026</w:t>
      </w:r>
    </w:p>
    <w:p>
      <w:pPr>
        <w:pStyle w:val="Heading2"/>
      </w:pPr>
      <w:r>
        <w:t>Handgriffstärke bei rheumatoider Arthritis: Frauen erreichen 60% des Normwerts, Männer 66%, deutlicher Geschlechtsunterschied</w:t>
      </w:r>
    </w:p>
    <w:p>
      <w:r>
        <w:rPr>
          <w:i/>
          <w:color w:val="666666"/>
          <w:sz w:val="18"/>
        </w:rPr>
        <w:t>Khojakulova U et al.  ·  Rheumatol Int  ·  04.09.2026  ·  PMID 42696125</w:t>
      </w:r>
    </w:p>
    <w:p>
      <w:r>
        <w:t>Querschnittstudie mit 70 RA-Patienten (78,6% Frauen) zur Erfassung der Handgriffstärke relativ zu alters- und geschlechtsspezifischen Referenznormen und Assoziation mit klinischen Faktoren.</w:t>
      </w:r>
    </w:p>
    <w:p>
      <w:r>
        <w:rPr>
          <w:b/>
        </w:rPr>
        <w:t xml:space="preserve">Ergebnis: </w:t>
      </w:r>
      <w:r>
        <w:t>Mittlere maximale Handgriffstärke 23,9±8,8 kg; niedrige Werte bei 28,6% (20% Frauen, 60% Männer). Vs. Norm: Männer median z=-1,71 (p=0,001), Frauen median z=-0,55 (p&lt;0,001). Inverse Korrelation mit Alter (ρ=-0,4; p=0,001) und Rauchen (ρ=-0,41; p=0,001), positive mit BMI (ρ=0,35; p=0,003). Höheres Alter war unabhängig mit reduzierter Griffstärke assoziiert (B=-0,21 kg/Jahr; p=0,012). Befund: Geschlechtsspezifische Normen wichtig für Sarkopenie-Diagnostik.</w:t>
      </w:r>
    </w:p>
    <w:p>
      <w:r>
        <w:rPr>
          <w:b/>
          <w:sz w:val="19"/>
        </w:rPr>
        <w:t xml:space="preserve">Übertragbarkeit: </w:t>
      </w:r>
      <w:r>
        <w:rPr>
          <w:sz w:val="19"/>
        </w:rPr>
        <w:t>Kasachstan/Südeuropa-Kohort e, aber Messmethoden international standardisiert; Relevanz für deutsches Rheumatologie-Screening.</w:t>
      </w:r>
    </w:p>
    <w:p>
      <w:r>
        <w:rPr>
          <w:color w:val="5A7D3A"/>
          <w:sz w:val="18"/>
        </w:rPr>
        <w:t>https://pubmed.ncbi.nlm.nih.gov/42696125/</w:t>
      </w:r>
    </w:p>
    <w:p>
      <w:pPr>
        <w:pStyle w:val="Heading2"/>
      </w:pPr>
      <w:r>
        <w:t>LGBTQ+-Fachpersonen in Portugal erleben Diskriminierung und navigieren Sichtbarkeitspraktiken am Arbeitsplatz</w:t>
      </w:r>
    </w:p>
    <w:p>
      <w:r>
        <w:rPr>
          <w:i/>
          <w:color w:val="666666"/>
          <w:sz w:val="18"/>
        </w:rPr>
        <w:t>Pieri M  ·  Front Public Health  ·  11.08.2026  ·  PMID 42643510</w:t>
      </w:r>
    </w:p>
    <w:p>
      <w:r>
        <w:t>Qualitative Studie mit 17 LGBTQ+-Fachpersonen im portugiesischen öffentlichen Gesundheitswesen zu deren Arbeitserfahrungen, Sichtbarkeitspraxen und Diskriminierung.</w:t>
      </w:r>
    </w:p>
    <w:p>
      <w:r>
        <w:rPr>
          <w:b/>
        </w:rPr>
        <w:t xml:space="preserve">Ergebnis: </w:t>
      </w:r>
      <w:r>
        <w:t>Kernbefunde: Fachpersonen pendeln zwischen Zurückhaltung beim Offenbaren ihrer Identität und Widerstandsmikropraktiken gegen Diskriminierung. Verbale Misshandlung in interprofessionellen Beziehungen kam häufig vor. Mikropraktiken beeinflussen Definition LGBTQ+-freundlicher Arbeitsumgebungen erheblich. Studie unterstreicht Notwendigkeit weiterer Forschung zu Sichtbarkeit im Gesundheitswesen.</w:t>
      </w:r>
    </w:p>
    <w:p>
      <w:r>
        <w:rPr>
          <w:b/>
          <w:sz w:val="19"/>
        </w:rPr>
        <w:t xml:space="preserve">Übertragbarkeit: </w:t>
      </w:r>
      <w:r>
        <w:rPr>
          <w:sz w:val="19"/>
        </w:rPr>
        <w:t>Portugal (Süd-/Südosteuropa), ähnliche europäische Systeme, aber strukturelle Unterschiede zu deutschsprachigen Ländern.</w:t>
      </w:r>
    </w:p>
    <w:p>
      <w:r>
        <w:rPr>
          <w:color w:val="5A7D3A"/>
          <w:sz w:val="18"/>
        </w:rPr>
        <w:t>https://pubmed.ncbi.nlm.nih.gov/42643510/</w:t>
      </w:r>
    </w:p>
    <w:p>
      <w:pPr>
        <w:pStyle w:val="Heading2"/>
      </w:pPr>
      <w:r>
        <w:t>LGBTQIA+-Minderheitsstress-Skala für Spanien validiert: zeigt psychische Belastung und differenzielle Betroffenheit</w:t>
      </w:r>
    </w:p>
    <w:p>
      <w:r>
        <w:rPr>
          <w:i/>
          <w:color w:val="666666"/>
          <w:sz w:val="18"/>
        </w:rPr>
        <w:t>Nebot-Garcia JE et al.  ·  Arch Sex Behav  ·  06.07.2026  ·  PMID 42406308</w:t>
      </w:r>
    </w:p>
    <w:p>
      <w:r>
        <w:t>Validierungsstudie der spanischen Version einer Skala zur Erfassung von Minderheitsstress (Stigma, Diskriminierung, Viktimisierung) bei 3.254 LGBTQIA+-Erwachsenen in Spanien.</w:t>
      </w:r>
    </w:p>
    <w:p>
      <w:r>
        <w:rPr>
          <w:b/>
        </w:rPr>
        <w:t xml:space="preserve">Ergebnis: </w:t>
      </w:r>
      <w:r>
        <w:t>Fünf-Faktor-Struktur bestätigt (Identitätsverbergen, Ablehnungsanticipation, Diskriminierungserfahrungen, internalisierte Stigma, Viktimisierung). Skala zeigte gute interne Konsistenz und Konstruktvalidität; Messinvarianz über Geschlechterkategorien (Männer, Frauen, nichtbinär). LGBTQIA+-Minderheitsstress korreliert mit Angst und Depression. Skala kann Forschung und Intervention bei den am stärksten betroffenen Gruppen leiten.</w:t>
      </w:r>
    </w:p>
    <w:p>
      <w:r>
        <w:rPr>
          <w:b/>
          <w:sz w:val="19"/>
        </w:rPr>
        <w:t xml:space="preserve">Übertragbarkeit: </w:t>
      </w:r>
      <w:r>
        <w:rPr>
          <w:sz w:val="19"/>
        </w:rPr>
        <w:t>Spanien (Südwesteuropa), vergleichbar mit deutschsprachigen LGBTQIA+-Populationen; aber Unterschied: keine Pflegeversicherung wie Deutschland.</w:t>
      </w:r>
    </w:p>
    <w:p>
      <w:r>
        <w:rPr>
          <w:color w:val="5A7D3A"/>
          <w:sz w:val="18"/>
        </w:rPr>
        <w:t>https://pubmed.ncbi.nlm.nih.gov/42406308/</w:t>
      </w:r>
    </w:p>
    <w:p>
      <w:pPr>
        <w:pStyle w:val="Heading2"/>
      </w:pPr>
      <w:r>
        <w:t>Klinische Kompetenzen für LGBTQ-Versorgung: Hausärzte zeigen niedrigere Werte als Psychiater, Schulung hilft</w:t>
      </w:r>
    </w:p>
    <w:p>
      <w:r>
        <w:rPr>
          <w:i/>
          <w:color w:val="666666"/>
          <w:sz w:val="18"/>
        </w:rPr>
        <w:t>Cruciani G et al.  ·  LGBT Health  ·  15.06.2026  ·  PMID 42295979</w:t>
      </w:r>
    </w:p>
    <w:p>
      <w:r>
        <w:t>Querschnittstudie mit 165 italienischen Fachpersonen (Hausarzt, Sexualmedizin, Psychiatrie) zur Untersuchung von Faktoren, die klinische Fähigkeiten in LGBTQ-Versorgung beeinflussen.</w:t>
      </w:r>
    </w:p>
    <w:p>
      <w:r>
        <w:rPr>
          <w:b/>
        </w:rPr>
        <w:t xml:space="preserve">Ergebnis: </w:t>
      </w:r>
      <w:r>
        <w:t>Hausärzte berichteten signifikant niedrigere klinische Fähigkeiten, höhere heteronormative Überzeugungen und Vorurteile als Psychiater; auch niedrigste LGBTQ-Schulungsteilnahme unter Gruppen. Höhere klinische Fähigkeiten waren assoziiert mit niedrigeren heteronormativen Überzeugungen (p&lt;0,05), LGBTQ-Schulungsteilnahme und Kontakt mit LGBTQ-Personen im privaten Umfeld. Befund: Gezielte Schulungen und Leitlinien nötig, um Heteronormativität in Versorgung zu verringern.</w:t>
      </w:r>
    </w:p>
    <w:p>
      <w:r>
        <w:rPr>
          <w:b/>
          <w:sz w:val="19"/>
        </w:rPr>
        <w:t xml:space="preserve">Übertragbarkeit: </w:t>
      </w:r>
      <w:r>
        <w:rPr>
          <w:sz w:val="19"/>
        </w:rPr>
        <w:t>Italien, mediterranes Südeuropa; DACH-System hat ähnliche Lücken in LGBTQ-Lehrplänen.</w:t>
      </w:r>
    </w:p>
    <w:p>
      <w:r>
        <w:rPr>
          <w:color w:val="5A7D3A"/>
          <w:sz w:val="18"/>
        </w:rPr>
        <w:t>https://pubmed.ncbi.nlm.nih.gov/42295979/</w:t>
      </w:r>
    </w:p>
    <w:p>
      <w:pPr>
        <w:pStyle w:val="Heading2"/>
      </w:pPr>
      <w:r>
        <w:t>Reproduktive Belastungen, nicht biologisches Geschlecht, erklären erhöhtes Osteoarthrose-Risiko von Frauen</w:t>
      </w:r>
    </w:p>
    <w:p>
      <w:r>
        <w:rPr>
          <w:i/>
          <w:color w:val="666666"/>
          <w:sz w:val="18"/>
        </w:rPr>
        <w:t>Das S et al.  ·  BMC Public Health  ·  02.06.2026  ·  PMID 42231317</w:t>
      </w:r>
    </w:p>
    <w:p>
      <w:r>
        <w:t>Deutsche Bevölkerungsstudie mit 4.687 Personen (davon 2.359 Frauen) zur Untersuchung, ob das höhere Osteoarthrose-Risiko von Frauen auf biologische Geschlechtsentwicklung oder auf reproduktive Kosten (Schwangerschaft, Elternschaft) zurückzuführen ist.</w:t>
      </w:r>
    </w:p>
    <w:p>
      <w:r>
        <w:rPr>
          <w:b/>
        </w:rPr>
        <w:t xml:space="preserve">Ergebnis: </w:t>
      </w:r>
      <w:r>
        <w:t>Kein signifikanter OA-Unterschied zwischen kinderlosen Männern (37%) und Frauen (44%; p=0,081). Frauen mit Kindern hatten aber höheres OA-Risiko als kinderlose Frauen (51% vs. 44%; p=0,047). OA-Risiko stieg bei Frauen pro Kind um 0,10 (95% KI 0,03–0,179; p=0,006), nicht bei Männern (p=0,660). Befund: Geschlechtsdimorphismus entsteht durch reproduktive Kosten, nicht durch Biologie.</w:t>
      </w:r>
    </w:p>
    <w:p>
      <w:r>
        <w:rPr>
          <w:b/>
          <w:sz w:val="19"/>
        </w:rPr>
        <w:t xml:space="preserve">Übertragbarkeit: </w:t>
      </w:r>
      <w:r>
        <w:rPr>
          <w:sz w:val="19"/>
        </w:rPr>
        <w:t>Deutschland, DEAS-Bevölkerungsdaten mit großer Stichprobe, aussagekräftig für deutsches Versicherungssystem.</w:t>
      </w:r>
    </w:p>
    <w:p>
      <w:r>
        <w:rPr>
          <w:color w:val="5A7D3A"/>
          <w:sz w:val="18"/>
        </w:rPr>
        <w:t>https://pubmed.ncbi.nlm.nih.gov/42231317/</w:t>
      </w:r>
    </w:p>
    <w:p>
      <w:pPr>
        <w:pStyle w:val="Heading2"/>
      </w:pPr>
      <w:r>
        <w:t>Frühe Multiple-Sklerose-Verläufe zeigen keine substanziellen Geschlechtsunterschiede in Behinderung oder Therapiestart</w:t>
      </w:r>
    </w:p>
    <w:p>
      <w:r>
        <w:rPr>
          <w:i/>
          <w:color w:val="666666"/>
          <w:sz w:val="18"/>
        </w:rPr>
        <w:t>Poser PL et al.  ·  Mult Scler  ·  01.06.2026  ·  PMID 42224266</w:t>
      </w:r>
    </w:p>
    <w:p>
      <w:r>
        <w:t>Deutsche Multizenter-Kohorte mit 1.210 therapienaiven Patienten zur Analyse von Geschlechtsunterschieden in Relapse-Präsentation, Behinderungsentwicklung und Behandlung mit Immunmodulatoren in der frühen MS-Phase.</w:t>
      </w:r>
    </w:p>
    <w:p>
      <w:r>
        <w:rPr>
          <w:b/>
        </w:rPr>
        <w:t xml:space="preserve">Ergebnis: </w:t>
      </w:r>
      <w:r>
        <w:t>Keine signifikanten Geschlechtsunterschiede bei Relapse-Präsentation, Zeit bis EDSS ≥3,0 (adjustierte HR 1,32; 95% KI 0,95–1,81) oder DMT-Exposition (p=0,60). Initial hocheffektive Therapie erhielten nur ~5% beider Geschlechter; Prädiktoren waren jüngeres Alter (OR 0,95; p=0,001), höhere Baseline-EDSS (OR 1,79; p&lt;0,001) und RRMS-Diagnose (OR 2,26; p=0,007), nicht aber Geschlecht (OR 0,99; p=0,94). Befunde deuten auf Wandel früherer Geschlechtsmuster und geringere Geschlechtsbias bei Therapieentscheidungen in spezialisierten MS-Zentren.</w:t>
      </w:r>
    </w:p>
    <w:p>
      <w:r>
        <w:rPr>
          <w:b/>
          <w:sz w:val="19"/>
        </w:rPr>
        <w:t xml:space="preserve">Übertragbarkeit: </w:t>
      </w:r>
      <w:r>
        <w:rPr>
          <w:sz w:val="19"/>
        </w:rPr>
        <w:t>Deutschland, spezialisierte MS-Zentren mit Routinedaten, vergleichbare Versorgungsstrukturen.</w:t>
      </w:r>
    </w:p>
    <w:p>
      <w:r>
        <w:rPr>
          <w:color w:val="5A7D3A"/>
          <w:sz w:val="18"/>
        </w:rPr>
        <w:t>https://pubmed.ncbi.nlm.nih.gov/42224266/</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Englischproficiency und Versorgung: Wer die Sprache nicht spricht, kommt nicht an Versorgung heran – England</w:t>
      </w:r>
    </w:p>
    <w:p>
      <w:r>
        <w:rPr>
          <w:i/>
          <w:color w:val="666666"/>
          <w:sz w:val="18"/>
        </w:rPr>
        <w:t>Davidson R et al.  ·  Health Place  ·  13.07.2026  ·  PMID 42442179</w:t>
      </w:r>
    </w:p>
    <w:p>
      <w:r>
        <w:t>Analyse von Routinedaten aus Hausarztpraxen und Kliniken in Nordwestlondon: Zusammenhang zwischen Englischkenntnissen und gesundheitlicher Versorgung sowie Outcomes.</w:t>
      </w:r>
    </w:p>
    <w:p>
      <w:r>
        <w:rPr>
          <w:b/>
        </w:rPr>
        <w:t xml:space="preserve">Ergebnis: </w:t>
      </w:r>
      <w:r>
        <w:t>Personen ohne Englischkenntnisse zeigten höhere altersbereinigt Prävalenzen kardiometabolischer Erkrankungen und höhere primär- und sekundärmedizinische Inanspruchnahme. Sprachbarrieren sind ein signifikanter Zugangshindernis; Sprachunterstützung ab Registrierung wird empfohlen.</w:t>
      </w:r>
    </w:p>
    <w:p>
      <w:r>
        <w:rPr>
          <w:b/>
          <w:sz w:val="19"/>
        </w:rPr>
        <w:t xml:space="preserve">Übertragbarkeit: </w:t>
      </w:r>
      <w:r>
        <w:rPr>
          <w:sz w:val="19"/>
        </w:rPr>
        <w:t>Großbritannien (NHS), vergleichbare Dokumentationspflichten, anderer Zugang als Deutschland</w:t>
      </w:r>
    </w:p>
    <w:p>
      <w:r>
        <w:rPr>
          <w:color w:val="5A7D3A"/>
          <w:sz w:val="18"/>
        </w:rPr>
        <w:t>https://pubmed.ncbi.nlm.nih.gov/42442179/</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 und Gesundheit</dc:title>
  <dc:subject/>
  <dc:creator>Monitor Versorgungsforschung</dc:creator>
  <cp:keywords/>
  <dc:description>generated by python-docx</dc:description>
  <cp:lastModifiedBy/>
  <cp:revision>1</cp:revision>
  <dcterms:created xsi:type="dcterms:W3CDTF">2026-09-16T06:00:00Z</dcterms:created>
  <dcterms:modified xsi:type="dcterms:W3CDTF">2026-09-16T06:00:00Z</dcterms:modified>
  <cp:category/>
</cp:coreProperties>
</file>