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01.09.2026  |  7 Studien  |  gender.m-vf.de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Psychische Belastung im Alter: Frauen berichten mehr Angst, PHQ-4-Normwerte für Deutschland</w:t>
      </w:r>
    </w:p>
    <w:p>
      <w:r>
        <w:rPr>
          <w:i/>
          <w:color w:val="666666"/>
          <w:sz w:val="18"/>
        </w:rPr>
        <w:t>Dimitrov N et al.  ·  BMC Geriatr  ·  28.08.2026  ·  PMID 42668360</w:t>
      </w:r>
    </w:p>
    <w:p>
      <w:r>
        <w:t>Deutsche Bevölkerungsumfrage (N=3.208, 60+ Jahre) mit alters- und geschlechtsspezifischen Normwerten für das PHQ-4-Screening auf Angst und Depression.</w:t>
      </w:r>
    </w:p>
    <w:p>
      <w:r>
        <w:rPr>
          <w:b/>
        </w:rPr>
        <w:t xml:space="preserve">Ergebnis: </w:t>
      </w:r>
      <w:r>
        <w:t>Frauen berichteten signifikant höhere Gesamtbelastung als Männer, primär durch höhere Angstsymptome. PHQ-4-Werte am höchsten in der ältesten Altersgruppe. Messäquivalenz über Geschlecht und Altersgruppen bestätigt. Normwerte stratifiziert nach Alter und Geschlecht bereitgestellt.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Face-to-Face-Haushaltsbefragung, direkt applicable als Referenzdaten für deutsche Praxen</w:t>
      </w:r>
    </w:p>
    <w:p>
      <w:r>
        <w:rPr>
          <w:color w:val="5A7D3A"/>
          <w:sz w:val="18"/>
        </w:rPr>
        <w:t>https://pubmed.ncbi.nlm.nih.gov/42668360/</w:t>
      </w:r>
    </w:p>
    <w:p>
      <w:pPr>
        <w:pStyle w:val="Heading2"/>
      </w:pPr>
      <w:r>
        <w:t>Menopause-Versorgung in Europa: Implementierungsrahmen für digitale Prä-zision</w:t>
      </w:r>
    </w:p>
    <w:p>
      <w:r>
        <w:rPr>
          <w:i/>
          <w:color w:val="666666"/>
          <w:sz w:val="18"/>
        </w:rPr>
        <w:t>Stute P et al.  ·  Maturitas  ·  20.07.2026  ·  PMID 42531734</w:t>
      </w:r>
    </w:p>
    <w:p>
      <w:r>
        <w:t>Europäische Fachgesellschaft skizziert Leitlinien für integrierte Menopausver-sorgung mit Risk Stratification, digitalen Tools und gestufter Versorgungsarchitektur.</w:t>
      </w:r>
    </w:p>
    <w:p>
      <w:r>
        <w:rPr>
          <w:b/>
        </w:rPr>
        <w:t xml:space="preserve">Ergebnis: </w:t>
      </w:r>
      <w:r>
        <w:t>Stellung der European Menopause and Andropause Society: Architektur mit vier Ebenen (digital access, trained professionals, specialist centres, governance). Aktionsempfehlungen für Kliniker, Systeme, Berufsverbände, Arbeitgeber zu Schulung, Qualitäts-standards, Algorithmen-governance und Equity-Monitoring.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Schweiz/Europa, vergleichbare Systeme, Transfer auf deutschsprachigen Raum offen</w:t>
      </w:r>
    </w:p>
    <w:p>
      <w:r>
        <w:rPr>
          <w:color w:val="5A7D3A"/>
          <w:sz w:val="18"/>
        </w:rPr>
        <w:t>https://pubmed.ncbi.nlm.nih.gov/42531734/</w:t>
      </w:r>
    </w:p>
    <w:p>
      <w:pPr>
        <w:pStyle w:val="Heading2"/>
      </w:pPr>
      <w:r>
        <w:t>Kopfschmerz und Rückenschmerz im Alter: Frauen leiden stärker, regionale Unterschiede entlang der Seidenstraße</w:t>
      </w:r>
    </w:p>
    <w:p>
      <w:r>
        <w:rPr>
          <w:i/>
          <w:color w:val="666666"/>
          <w:sz w:val="18"/>
        </w:rPr>
        <w:t>Liu J et al.  ·  Inquiry  ·  18.07.2026  ·  PMID 42470618</w:t>
      </w:r>
    </w:p>
    <w:p>
      <w:r>
        <w:t>Global Burden of Disease-Analyse (1990-2023) zu geschlechtsstratifizierten Inzidenz-, Prävalenz- und Disabilityraten für geriatrische Schmerzen in Asien und Europa.</w:t>
      </w:r>
    </w:p>
    <w:p>
      <w:r>
        <w:rPr>
          <w:b/>
        </w:rPr>
        <w:t xml:space="preserve">Ergebnis: </w:t>
      </w:r>
      <w:r>
        <w:t>2023: Kopfschmerz-ASIR höchst in Osteuropa (12.290/100.000), niedrig in Ostasien (7.746/100.000); Rückenschmerz höchst in Mitteleuropa (5.130/100.000). Frauen durchweg höhere Schmerzenbelastung als Männer, stärkste Unterschiede im Nahen Osten/Nordafrika. Trends divergent: Rückenschmerz in Ostasien sank (−23,37 % ASIR), Kopfschmerz stieg (+5,68 %). Gesundheitsungleichheit konzentriert sich regional unterschiedlich nach Entwicklungsgrad (SDI-Effekt).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GBD-Modelloutputs, nicht primäre Beobachtungsdaten; regional aggregiert, aber Geschlechtsstratifizierung valide</w:t>
      </w:r>
    </w:p>
    <w:p>
      <w:r>
        <w:rPr>
          <w:color w:val="5A7D3A"/>
          <w:sz w:val="18"/>
        </w:rPr>
        <w:t>https://pubmed.ncbi.nlm.nih.gov/42470618/</w:t>
      </w:r>
    </w:p>
    <w:p>
      <w:pPr>
        <w:pStyle w:val="Heading2"/>
      </w:pPr>
      <w:r>
        <w:t>Selbsteinschätzung in der Medizinerausbildung: Frauen unterschätzen sich um 3–6 Prozentpunkte</w:t>
      </w:r>
    </w:p>
    <w:p>
      <w:r>
        <w:rPr>
          <w:i/>
          <w:color w:val="666666"/>
          <w:sz w:val="18"/>
        </w:rPr>
        <w:t>Handke L et al.  ·  JMIR Med Educ  ·  17.07.2026  ·  PMID 42467405</w:t>
      </w:r>
    </w:p>
    <w:p>
      <w:r>
        <w:t>Längsschnittstudie an deutschem medizinischem Lehrgang (N=165, 3 Kohorten, Apr 2023–Apr 2024) zur Geschlechtsstratifizierung der Genauigkeit von Selbsteinschätzung.</w:t>
      </w:r>
    </w:p>
    <w:p>
      <w:r>
        <w:rPr>
          <w:b/>
        </w:rPr>
        <w:t xml:space="preserve">Ergebnis: </w:t>
      </w:r>
      <w:r>
        <w:t>Frauen bewerteten sich signifikant weniger akkurat als Männer (alle p-Werte 0,001–0,01, adjustiert für akademische Fortschritte und Wissenstand). Geschlechtereffekt: −3,74 bis −6,08 Prozentpunkte, Größenordnung vergleichbar mit einem Semester Wissenserwerb. Unterschied persistiert über alle Modelle.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Medical School OWL (Bielefeld), direkt auf deutsche Medizinerausbildung übertragbar</w:t>
      </w:r>
    </w:p>
    <w:p>
      <w:r>
        <w:rPr>
          <w:color w:val="5A7D3A"/>
          <w:sz w:val="18"/>
        </w:rPr>
        <w:t>https://pubmed.ncbi.nlm.nih.gov/42467405/</w:t>
      </w:r>
    </w:p>
    <w:p>
      <w:pPr>
        <w:pStyle w:val="Heading2"/>
      </w:pPr>
      <w:r>
        <w:t>Glücksspiel bei Jugendlichen: Jungen spielen deutlich mehr On-Site und Online</w:t>
      </w:r>
    </w:p>
    <w:p>
      <w:r>
        <w:rPr>
          <w:i/>
          <w:color w:val="666666"/>
          <w:sz w:val="18"/>
        </w:rPr>
        <w:t>Castrén S et al.  ·  Int J Environ Res Public Health  ·  03.06.2026  ·  PMID 42354284</w:t>
      </w:r>
    </w:p>
    <w:p>
      <w:r>
        <w:t>Finnische ESPAD-Daten von 3.294 Schülern zur Geschlechtsstratifizierung von Glücksspiel-Verhalten und assoziierten Risikofaktoren.</w:t>
      </w:r>
    </w:p>
    <w:p>
      <w:r>
        <w:rPr>
          <w:b/>
        </w:rPr>
        <w:t xml:space="preserve">Ergebnis: </w:t>
      </w:r>
      <w:r>
        <w:t>On-Site-Glücksspiel in den letzten 12 Monaten: 7 % der Jungen vs. 0-2 % der Mädchen; Online: 3 % vs. 0-2 %; beide: 11 % vs. 0-2 %. Mehrere Assoziationen mit Online-Glücksspiel unterschieden sich nach Geschlecht. Schulschwänzen, Freizeitkontext, riskantes Sexualverhalten, problematische Substanznutzung und problematische Social-Media-Nutzung erhöhten Odds beider Glücksspieltypen.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Finnland/Nord­europa, Schulsurvey ESPAD, Daten vergleichbar mit Deutschland über internationale Studien</w:t>
      </w:r>
    </w:p>
    <w:p>
      <w:r>
        <w:rPr>
          <w:color w:val="5A7D3A"/>
          <w:sz w:val="18"/>
        </w:rPr>
        <w:t>https://pubmed.ncbi.nlm.nih.gov/42354284/</w:t>
      </w:r>
    </w:p>
    <w:p>
      <w:pPr>
        <w:pStyle w:val="Heading2"/>
      </w:pPr>
      <w:r>
        <w:t>CYP2C19-Metabolismus bei Psychopharmaka: Frauen bauen Escitalopram schneller ab</w:t>
      </w:r>
    </w:p>
    <w:p>
      <w:r>
        <w:rPr>
          <w:i/>
          <w:color w:val="666666"/>
          <w:sz w:val="18"/>
        </w:rPr>
        <w:t>Eiberger J et al.  ·  Genes (Basel)  ·  21.06.2026  ·  PMID 42353876</w:t>
      </w:r>
    </w:p>
    <w:p>
      <w:r>
        <w:t>Therapeutisches Drug Monitoring bei 51 Patienten mit Escitalopram zeigt Geschlechtsdifferenzen in CYP2C19-abhängiger Metabolisierung.</w:t>
      </w:r>
    </w:p>
    <w:p>
      <w:r>
        <w:rPr>
          <w:b/>
        </w:rPr>
        <w:t xml:space="preserve">Ergebnis: </w:t>
      </w:r>
      <w:r>
        <w:t>Bei CYP2C19-Normalmetabolisierern signifikant höhere dosierungskorrigierte Serumkonzen-trationen bei Männern vs. Frauen (geschätztes Randmittel; p &lt; 0,05). Interpretation: Frauen mit CYP2C19-Normalmetabolismus zeigen schnellere/höhere Clearance. Befund explorativ, Stichprobe klein, Hypothese-generierend.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psychiatrische Routinepraxis mit TDM, biologischer Befund potenziell universal aber Dosierungsempfehlungen kontextabhängig</w:t>
      </w:r>
    </w:p>
    <w:p>
      <w:r>
        <w:rPr>
          <w:color w:val="5A7D3A"/>
          <w:sz w:val="18"/>
        </w:rPr>
        <w:t>https://pubmed.ncbi.nlm.nih.gov/42353876/</w:t>
      </w:r>
    </w:p>
    <w:p>
      <w:pPr>
        <w:pStyle w:val="Heading2"/>
      </w:pPr>
      <w:r>
        <w:t>Herzklappenchirurgie bei Endokarditis: Frauen erleben weniger Mortalität als Männer</w:t>
      </w:r>
    </w:p>
    <w:p>
      <w:r>
        <w:rPr>
          <w:i/>
          <w:color w:val="666666"/>
          <w:sz w:val="18"/>
        </w:rPr>
        <w:t>Bearpark L et al.  ·  J Am Heart Assoc  ·  16.06.2026  ·  PMID 42294753</w:t>
      </w:r>
    </w:p>
    <w:p>
      <w:r>
        <w:t>Schwedische Kohortenstudie mit Routinedaten zu Geschlechtsunterschieden und Überleben nach Aortenklappenersatz bei infektiöser Endokarditis.</w:t>
      </w:r>
    </w:p>
    <w:p>
      <w:r>
        <w:rPr>
          <w:b/>
        </w:rPr>
        <w:t xml:space="preserve">Ergebnis: </w:t>
      </w:r>
      <w:r>
        <w:t>Von 2.585 Patient*innen 19 % Frauen (älter, mehr Komorbiditäten, niedrigerer SES). Nach 7 Jahren: 49 % der Frauen vs. 41 % der Männer verstorben. Nach Standardisierung für Baselinefaktoren höheres Nettoüberleben bei Frauen; Lebenszeitverlust besonders in jüngeren Alter (15,5 Jahre bei 50-Jähriger Frau vs. 2,1 Jahre bei 80-Jährigem Mann).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Schweden/Skandinavien, Populationsregister, Lebenszeitanalyse methodisch übertragbar</w:t>
      </w:r>
    </w:p>
    <w:p>
      <w:r>
        <w:rPr>
          <w:color w:val="5A7D3A"/>
          <w:sz w:val="18"/>
        </w:rPr>
        <w:t>https://pubmed.ncbi.nlm.nih.gov/42294753/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