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Geschlechtersensible Medizin</w:t>
      </w:r>
    </w:p>
    <w:p>
      <w:r>
        <w:rPr>
          <w:i/>
          <w:color w:val="666666"/>
          <w:sz w:val="18"/>
        </w:rPr>
        <w:t>Stand: 09.10.2026  |  6 Studien  |  gender.m-vf.de</w:t>
      </w:r>
    </w:p>
    <w:p>
      <w:pPr>
        <w:pStyle w:val="Heading1"/>
      </w:pPr>
      <w:r>
        <w:t>Aufgenommen am 09.10.2026</w:t>
      </w:r>
    </w:p>
    <w:p>
      <w:pPr>
        <w:pStyle w:val="Heading2"/>
      </w:pPr>
      <w:r>
        <w:t>Neugeborenen-Sterblichkeit in Kasachstan: Männliche Übermortalität im frühen Leben</w:t>
      </w:r>
    </w:p>
    <w:p>
      <w:r>
        <w:rPr>
          <w:i/>
          <w:color w:val="666666"/>
          <w:sz w:val="18"/>
        </w:rPr>
        <w:t>Tsay Y et al.  ·  PLoS One  ·  08.10.2026  ·  PMID 42848793</w:t>
      </w:r>
    </w:p>
    <w:p>
      <w:r>
        <w:t>Bevölkerungsbasierte Trendanalyse (2010–2023) der Global-Burden-of-Disease-Daten untersuchte, ob und wie sich Geschlechtsdifferenzen in früh-neonataler und spätneonataler Mortalität entwickeln.</w:t>
      </w:r>
    </w:p>
    <w:p>
      <w:r>
        <w:rPr>
          <w:b/>
        </w:rPr>
        <w:t xml:space="preserve">Ergebnis: </w:t>
      </w:r>
      <w:r>
        <w:t>Mortalität sank in beiden Perioden, aber Männer zeigten durchgehend höhere Sterb-lichkeit, YLLs und DALYs als Mädchen. Unterschied wurde in rezenten Jahren statistisch unsicher und verengte sich deutlich. YLLs machten &gt;95% der DALYs aus – Mortalität, nicht Morbidität, treibt Krankheitslast. Prognosen zeigen Fortbestand, Differenz aber weiter verengend.</w:t>
      </w:r>
    </w:p>
    <w:p>
      <w:r>
        <w:rPr>
          <w:b/>
          <w:sz w:val="19"/>
        </w:rPr>
        <w:t xml:space="preserve">Übertragbarkeit: </w:t>
      </w:r>
      <w:r>
        <w:rPr>
          <w:sz w:val="19"/>
        </w:rPr>
        <w:t>Kasachstan/Zentralasien, aber Geschlechtsmuster in neonataler Mortalität ist biologisch begründet, nicht systemabhängig; Daten zeigen, dass Unterschied auch bei Systemverbesserung persistiert.</w:t>
      </w:r>
    </w:p>
    <w:p>
      <w:r>
        <w:rPr>
          <w:color w:val="5A7D3A"/>
          <w:sz w:val="18"/>
        </w:rPr>
        <w:t>https://pubmed.ncbi.nlm.nih.gov/42848793/</w:t>
      </w:r>
    </w:p>
    <w:p>
      <w:pPr>
        <w:pStyle w:val="Heading2"/>
      </w:pPr>
      <w:r>
        <w:t>Psychische Belastung im ländlichen Wyoming: Clubhouse-Modell lindert Versorgungslücken</w:t>
      </w:r>
    </w:p>
    <w:p>
      <w:r>
        <w:rPr>
          <w:i/>
          <w:color w:val="666666"/>
          <w:sz w:val="18"/>
        </w:rPr>
        <w:t>Korankye R et al.  ·  Int J Qual Stud Health Well-being  ·  31.12.2026  ·  PMID 42848437</w:t>
      </w:r>
    </w:p>
    <w:p>
      <w:r>
        <w:t>Qualitative Sekundäranalyse von Interviews mit 16 Clubhouse-Mitgliedern (n=12) und Fachpersonen (n=4) in Wyoming untersuchte, welche Versorgungsungleichheiten Menschen mit psychischer Erkrankung im ländlichen Raum erleben und wie das Clubhouse-Modell hilft.</w:t>
      </w:r>
    </w:p>
    <w:p>
      <w:r>
        <w:rPr>
          <w:b/>
        </w:rPr>
        <w:t xml:space="preserve">Ergebnis: </w:t>
      </w:r>
      <w:r>
        <w:t>Zwei Hauptthemen: (1) Versorgungsungleichheiten: begrenzte Zugangskapazitäten für psychische Gesundheit, strukturelle Barrieren zu essentiellen Diensten belasten Psyche; (2) Clubhouse adressiert mehrere soziale Gesundheitsdeterminanten – wirtschaftliche Stabilität, Gesundheitsversorgungszugang und -qualität, Wohnumgebung, soziales Netzwerk. Teilnehmer beschrieben Clubhouse als unterstützende Umgebung für Genesung.</w:t>
      </w:r>
    </w:p>
    <w:p>
      <w:r>
        <w:rPr>
          <w:b/>
          <w:sz w:val="19"/>
        </w:rPr>
        <w:t xml:space="preserve">Übertragbarkeit: </w:t>
      </w:r>
      <w:r>
        <w:rPr>
          <w:sz w:val="19"/>
        </w:rPr>
        <w:t>USA/ländlich, aber Struktur-Problem (Mangelversorgung, Isolation) analog zu deutschen Flächenregionen; Clubhouse-Konzept übertragbar.</w:t>
      </w:r>
    </w:p>
    <w:p>
      <w:r>
        <w:rPr>
          <w:color w:val="5A7D3A"/>
          <w:sz w:val="18"/>
        </w:rPr>
        <w:t>https://pubmed.ncbi.nlm.nih.gov/42848437/</w:t>
      </w:r>
    </w:p>
    <w:p>
      <w:pPr>
        <w:pStyle w:val="Heading2"/>
      </w:pPr>
      <w:r>
        <w:t>Autismus-Diagnosen in Kanada: Arme und Einwandererfamilien benachteiligt</w:t>
      </w:r>
    </w:p>
    <w:p>
      <w:r>
        <w:rPr>
          <w:i/>
          <w:color w:val="666666"/>
          <w:sz w:val="18"/>
        </w:rPr>
        <w:t>Del Giorgio F et al.  ·  JAMA Netw Open  ·  01.10.2026  ·  PMID 42848404</w:t>
      </w:r>
    </w:p>
    <w:p>
      <w:r>
        <w:t>Bevölkerungsbasierte Kohortenstudie (Ontario 2002–2020) untersuchte, ob Autismus-Diagnosen Ungleichheiten nach sozioökonomischem Status und Einwanderungsstatus widerspiegeln und welche perinatalen Faktoren die Disparität erklären.</w:t>
      </w:r>
    </w:p>
    <w:p>
      <w:r>
        <w:rPr>
          <w:b/>
        </w:rPr>
        <w:t xml:space="preserve">Ergebnis: </w:t>
      </w:r>
      <w:r>
        <w:t>Von 2.319.302 Kindern: 29.374 (1,3%) Autismus-Diagnose, 80% bis Alter 8 Jahre, 78,5% männlich. Diagnose-Inzidenz stieg 10% pro Geburtskohorte. Disparität verbreiterte sich: 2012er Kohorte 2,2-fach höher in ärmsten vs. reichsten Gegenden (95%-CI 2,0–2,4), 2,0-fach höher in ethnisch diversen vs. homogenen Gegenden. Kinder von Einwanderern 1,4-fach höher diagnostiziert. Mütterlicher Diabetes, schwere Morbidität, Frühgeburten häufiger in benachteiligten Gruppen – partiell erklärend.</w:t>
      </w:r>
    </w:p>
    <w:p>
      <w:r>
        <w:rPr>
          <w:b/>
          <w:sz w:val="19"/>
        </w:rPr>
        <w:t xml:space="preserve">Übertragbarkeit: </w:t>
      </w:r>
      <w:r>
        <w:rPr>
          <w:sz w:val="19"/>
        </w:rPr>
        <w:t>Kanada, universelles Gesundheitssystem mit verfügbarer Diagnostik; zeigt, dass Ungleichheit in Diagnosestellung (Zugang, Wahrnehmung) ebenso wirkt wie perinatale biologische Risiken.</w:t>
      </w:r>
    </w:p>
    <w:p>
      <w:r>
        <w:rPr>
          <w:color w:val="5A7D3A"/>
          <w:sz w:val="18"/>
        </w:rPr>
        <w:t>https://pubmed.ncbi.nlm.nih.gov/42848404/</w:t>
      </w:r>
    </w:p>
    <w:p>
      <w:pPr>
        <w:pStyle w:val="Heading2"/>
      </w:pPr>
      <w:r>
        <w:t>Niedriges fT3 und intrakranielle Aneurysmen: Geschlechtsspezifische Assoziation bei Frauen</w:t>
      </w:r>
    </w:p>
    <w:p>
      <w:r>
        <w:rPr>
          <w:i/>
          <w:color w:val="666666"/>
          <w:sz w:val="18"/>
        </w:rPr>
        <w:t>Bschorer M et al.  ·  Front Neurol  ·  23.09.2026  ·  PMID 42846038</w:t>
      </w:r>
    </w:p>
    <w:p>
      <w:r>
        <w:t>Retrospektive Fall-Kontroll-Studie untersuchte, ob niedriges freies Triiodothyronin (fT3) mit unrupturierten oder rupturierten intrakraniellen Aneurysmen assoziiert ist und ob dieser Zusammenhang geschlechtsspezifisch ist.</w:t>
      </w:r>
    </w:p>
    <w:p>
      <w:r>
        <w:rPr>
          <w:b/>
        </w:rPr>
        <w:t xml:space="preserve">Ergebnis: </w:t>
      </w:r>
      <w:r>
        <w:t>Kohort 1.100 Patienten (60% Frauen): Bei Frauen war niedriges fT3 unabhängig mit unrupturierten Aneurysmen assoziiert (OR 2,43; p=0,003), bei Männern nicht (OR 1,02; p=0,938; Interaktion p=0,030). Bei rupturierten Aneurysmen war niedriges fT3 häufig (58,8%), reflektiert aber wahrscheinlich Non-Thyroidal-Illness-Syndrom nach Hämorrhagie statt Rupturgefahr.</w:t>
      </w:r>
    </w:p>
    <w:p>
      <w:r>
        <w:rPr>
          <w:b/>
          <w:sz w:val="19"/>
        </w:rPr>
        <w:t xml:space="preserve">Übertragbarkeit: </w:t>
      </w:r>
      <w:r>
        <w:rPr>
          <w:sz w:val="19"/>
        </w:rPr>
        <w:t>Deutsche Klinik (UKE Hamburg), europäisches Versorgungssystem; zeigt Geschlechtsdimorphismus in endokrinem Biomarker, Mechanismus noch offen.</w:t>
      </w:r>
    </w:p>
    <w:p>
      <w:r>
        <w:rPr>
          <w:color w:val="5A7D3A"/>
          <w:sz w:val="18"/>
        </w:rPr>
        <w:t>https://pubmed.ncbi.nlm.nih.gov/42846038/</w:t>
      </w:r>
    </w:p>
    <w:p>
      <w:pPr>
        <w:pStyle w:val="Heading2"/>
      </w:pPr>
      <w:r>
        <w:t>Herzinfarktrisiko nach früher Menopause: Abdominale Adipositas als Vermittler</w:t>
      </w:r>
    </w:p>
    <w:p>
      <w:r>
        <w:rPr>
          <w:i/>
          <w:color w:val="666666"/>
          <w:sz w:val="18"/>
        </w:rPr>
        <w:t>Borrowman JD et al.  ·  J Am Heart Assoc  ·  06.10.2026  ·  PMID 42786622</w:t>
      </w:r>
    </w:p>
    <w:p>
      <w:r>
        <w:t>Studie untersuchte, ob frühe Menarche, frühe Menopause und kurze Reproduktionsspanne unabhängig mit kardiovaskulären Ereignissen bei postmenopausalen Frauen assoziiert sind und welche Rolle die Taillenumfang spielt.</w:t>
      </w:r>
    </w:p>
    <w:p>
      <w:r>
        <w:rPr>
          <w:b/>
        </w:rPr>
        <w:t xml:space="preserve">Ergebnis: </w:t>
      </w:r>
      <w:r>
        <w:t>Bei 119.182 Frauen (mittlere Nachbeobachtung 12,8 Jahre) traten 12.731 kardiovaskuläre Ereignisse auf. Frühe Menarche (HR 1,07; 95%-CI 1,01–1,15), frühe Menopause (HR 1,22; 95%-CI 1,11–1,35) und kurze Reproduktionsspanne (HR 1,21; 95%-CI 1,13–1,29) waren mit erhöhtem Risiko assoziiert. Taillenumfang mediierte diese Assoziationen – biologischer Mechanismus (Adipositas) nachgewiesen.</w:t>
      </w:r>
    </w:p>
    <w:p>
      <w:r>
        <w:rPr>
          <w:b/>
          <w:sz w:val="19"/>
        </w:rPr>
        <w:t xml:space="preserve">Übertragbarkeit: </w:t>
      </w:r>
      <w:r>
        <w:rPr>
          <w:sz w:val="19"/>
        </w:rPr>
        <w:t>USA-Kohortenstudie, aber Mechanismus der metabolischen Vermittlung ist universell; für Deutschland relevant, wenn Menopausenalter erfasst wird.</w:t>
      </w:r>
    </w:p>
    <w:p>
      <w:r>
        <w:rPr>
          <w:color w:val="5A7D3A"/>
          <w:sz w:val="18"/>
        </w:rPr>
        <w:t>https://pubmed.ncbi.nlm.nih.gov/42786622/</w:t>
      </w:r>
    </w:p>
    <w:p>
      <w:pPr>
        <w:pStyle w:val="Heading2"/>
      </w:pPr>
      <w:r>
        <w:t>Thorakale Aortendissektion in England: Frauen und arme Patienten unterbehandelt</w:t>
      </w:r>
    </w:p>
    <w:p>
      <w:r>
        <w:rPr>
          <w:i/>
          <w:color w:val="666666"/>
          <w:sz w:val="18"/>
        </w:rPr>
        <w:t>Abbasciano RG et al.  ·  J Am Heart Assoc  ·  06.10.2026  ·  PMID 42757899</w:t>
      </w:r>
    </w:p>
    <w:p>
      <w:r>
        <w:t>Nationale Kohortenstudie untersuchte, wie Geschlecht, Ethnizität und Deprivation die Behandlung und Überlebenschancen bei thorakaler Aortenerkrankung beeinflussen – ein Versorgungsproblem in der Klinik.</w:t>
      </w:r>
    </w:p>
    <w:p>
      <w:r>
        <w:rPr>
          <w:b/>
        </w:rPr>
        <w:t xml:space="preserve">Ergebnis: </w:t>
      </w:r>
      <w:r>
        <w:t>Von 33.793 Neudiagnosen: Frauen, ältere Patienten und sozial benachteiligte Personen starben häufiger innerhalb eines Jahres (multivariate Modelle). Frauen und Benachteiligte unterlagen seltener früher elektiver Intervention, erhielten aber häufiger Überwachungsscans. Ethnische Minderheiten und sozial Benachteiligte waren seltener zu genetischem Screening überwiesen. Starke regionale Variation in Behandlungs- und Überwachungsraten nach Einstellung für Ungleichheiten.</w:t>
      </w:r>
    </w:p>
    <w:p>
      <w:r>
        <w:rPr>
          <w:b/>
          <w:sz w:val="19"/>
        </w:rPr>
        <w:t xml:space="preserve">Übertragbarkeit: </w:t>
      </w:r>
      <w:r>
        <w:rPr>
          <w:sz w:val="19"/>
        </w:rPr>
        <w:t>England/NHS, aber Ausgangslage (Klassifikation, Risikofaktoren) ähnlich DACH; zeigt Zugangsungleichheit als Versorgungsproblem, nicht nur Biologie.</w:t>
      </w:r>
    </w:p>
    <w:p>
      <w:r>
        <w:rPr>
          <w:color w:val="5A7D3A"/>
          <w:sz w:val="18"/>
        </w:rPr>
        <w:t>https://pubmed.ncbi.nlm.nih.gov/42757899/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Geschlechtersensible Medizin</dc:title>
  <dc:subject/>
  <dc:creator>Monitor Versorgungsforschung</dc:creator>
  <cp:keywords/>
  <dc:description>generated by python-docx</dc:description>
  <cp:lastModifiedBy/>
  <cp:revision>1</cp:revision>
  <dcterms:created xsi:type="dcterms:W3CDTF">2026-10-09T06:00:00Z</dcterms:created>
  <dcterms:modified xsi:type="dcterms:W3CDTF">2026-10-09T06:00:00Z</dcterms:modified>
  <cp:category/>
</cp:coreProperties>
</file>