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21.10.2026  |  6 Studien  |  gender.m-vf.de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Systemische Sklerose: Geschlechtsspezifische Unterschiede in Krankheitsarchitektur und Verlauf</w:t>
      </w:r>
    </w:p>
    <w:p>
      <w:r>
        <w:rPr>
          <w:i/>
          <w:color w:val="666666"/>
          <w:sz w:val="18"/>
        </w:rPr>
        <w:t>Tian Y et al.  ·  Front Immunol  ·  05.10.2026  ·  PMID 42898638</w:t>
      </w:r>
    </w:p>
    <w:p>
      <w:r>
        <w:t>Hypothesen-generierendes Framework (SSc-MAF), das geschlechtsspezifische Unterschiede in der Beziehung zwischen Krankheitskomponenten bei systemischer Sklerose untersucht, nicht nur in isolierten Molekülen oder Phänotypen.</w:t>
      </w:r>
    </w:p>
    <w:p>
      <w:r>
        <w:rPr>
          <w:b/>
        </w:rPr>
        <w:t xml:space="preserve">Ergebnis: </w:t>
      </w:r>
      <w:r>
        <w:t>Frauen entwickeln SSc häufiger, Männer erleben schwerer Organbefall und ungünstigere Outcomes. Framework unterscheidet klinische Trajektorien von biologischer Architektur; prüft, ob Geschlecht über komponentenspezifische Vergleiche hinaus Information trägt. Direkte Evidenz begrenzt; eher Hypothesen als bewiesene Architektur.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Methodenarbeit – klinisch relevant nur, wenn Testvorhersagen in deutschen SSc-Kohorten validiert werden; Mechanismus (Biologie vs. Zugang) konzeptionell aber nicht empirisch geklärt.</w:t>
      </w:r>
    </w:p>
    <w:p>
      <w:r>
        <w:rPr>
          <w:color w:val="5A7D3A"/>
          <w:sz w:val="18"/>
        </w:rPr>
        <w:t>https://pubmed.ncbi.nlm.nih.gov/42898638/</w:t>
      </w:r>
    </w:p>
    <w:p>
      <w:pPr>
        <w:pStyle w:val="Heading2"/>
      </w:pPr>
      <w:r>
        <w:t>Gallensteine und Entzündungsmarker: Geschlechtsspezifische Assoziationen in großer Kohorte</w:t>
      </w:r>
    </w:p>
    <w:p>
      <w:r>
        <w:rPr>
          <w:i/>
          <w:color w:val="666666"/>
          <w:sz w:val="18"/>
        </w:rPr>
        <w:t>Teng Y et al.  ·  Front Public Health  ·  05.10.2026  ·  PMID 42898498</w:t>
      </w:r>
    </w:p>
    <w:p>
      <w:r>
        <w:t>Querschnittanalyse von 55.241 Erwachsenen zur Assoziation zwischen Systemischem Immunentzündungs-Index und Gallensteinrisiko mit geschlechtergetrennten Analysen.</w:t>
      </w:r>
    </w:p>
    <w:p>
      <w:r>
        <w:rPr>
          <w:b/>
        </w:rPr>
        <w:t xml:space="preserve">Ergebnis: </w:t>
      </w:r>
      <w:r>
        <w:t>Erhöhter log-transformierter SII war mit erhöhtem Gallensteinrisiko assoziiert (OR 1,10; 95%-KI 1,01–1,21; p = 0,037). Frauen zeigten lineare Assoziation (OR 1,21; 95%-KI 1,06–1,39; p = 0,006), Männer nichtlineare mit Risiko ab SII-Schwellenwert 6,52. Keine signifikante Geschlechts-SII-Interaktion.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Mechanismus (Biologie vs. Zugang) unklar; Übertragbarkeit auf deutsche Screeningpraxis begrenzt ohne Validierung.</w:t>
      </w:r>
    </w:p>
    <w:p>
      <w:r>
        <w:rPr>
          <w:color w:val="5A7D3A"/>
          <w:sz w:val="18"/>
        </w:rPr>
        <w:t>https://pubmed.ncbi.nlm.nih.gov/42898498/</w:t>
      </w:r>
    </w:p>
    <w:p>
      <w:pPr>
        <w:pStyle w:val="Heading2"/>
      </w:pPr>
      <w:r>
        <w:t>Herzkardiovaskuläre Risikofaktoren bei HIV: Geschlechtsspezifische Unterschiede in Adipositas und Ernährung</w:t>
      </w:r>
    </w:p>
    <w:p>
      <w:r>
        <w:rPr>
          <w:i/>
          <w:color w:val="666666"/>
          <w:sz w:val="18"/>
        </w:rPr>
        <w:t>Ademola BL et al.  ·  West Afr J Med  ·  28.08.2026  ·  PMID 42898368</w:t>
      </w:r>
    </w:p>
    <w:p>
      <w:r>
        <w:t>Querschnittstudie an 840 Personen mit HIV in Nigeria, die Geschlechterdifferenzen in traditionellen und Verhaltensrisikofaktoren für Herzerkrankungen untersuchte.</w:t>
      </w:r>
    </w:p>
    <w:p>
      <w:r>
        <w:rPr>
          <w:b/>
        </w:rPr>
        <w:t xml:space="preserve">Ergebnis: </w:t>
      </w:r>
      <w:r>
        <w:t>Frauen zeigten häufiger ungesunde Ernährung (66,2 % vs. 41,9 %; p &lt; 0,001) und abdominale Adipositas (52,9 % vs. 33,8 %; p &lt; 0,001); Männer hatten höhere Odds für Übergewicht (OR 1,86; p &lt; 0,001) und Rauchen (5,7 % vs. 1,2 %). Unterschiede blieben über Confounder-Adjustierung hinweg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 – nur wenn ähnliche Risikofaktor-Profile bei deutschen HIV-Patienten bestätigt; Zugangsweg und Versorgungsqualität unterscheiden sich erheblich.</w:t>
      </w:r>
    </w:p>
    <w:p>
      <w:r>
        <w:rPr>
          <w:color w:val="5A7D3A"/>
          <w:sz w:val="18"/>
        </w:rPr>
        <w:t>https://pubmed.ncbi.nlm.nih.gov/42898368/</w:t>
      </w:r>
    </w:p>
    <w:p>
      <w:pPr>
        <w:pStyle w:val="Heading2"/>
      </w:pPr>
      <w:r>
        <w:t>Indigene Gesundheitsforschung: Systematische Erasure von LGBTQA+SB-Personen in Daten</w:t>
      </w:r>
    </w:p>
    <w:p>
      <w:r>
        <w:rPr>
          <w:i/>
          <w:color w:val="666666"/>
          <w:sz w:val="18"/>
        </w:rPr>
        <w:t>Liddelow-Hunt S et al.  ·  Med J Aust  ·  Okt. 2026  ·  PMID 42885875</w:t>
      </w:r>
    </w:p>
    <w:p>
      <w:r>
        <w:t>Qualitativ-konzeptionelle Arbeit zur Unterrepräsentation von LGBTQA+SB (Aboriginal/Torres Strait Islander Sistergirls/Brotherboys) in australischer Indigenengesundheitsforschung und Implikationen für Dekolonisierung und Versorgungspraxis.</w:t>
      </w:r>
    </w:p>
    <w:p>
      <w:r>
        <w:rPr>
          <w:b/>
        </w:rPr>
        <w:t xml:space="preserve">Ergebnis: </w:t>
      </w:r>
      <w:r>
        <w:t>LGBTQA+SB-Teilnehmende sind in Aboriginal- und Torres-Strait-Islander-Gesundheitsdaten praktisch unsichtbar. Arbeit skizziert Ansätze zur quantitativen Datenerfassung, Beispiele identifizierender Forschung und Herausforderungen. Empfehlungen: westliche biomedizinische Normen in der Forschung überdenken, Datenerfassung an indigene Ontologien anpassen.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– methodische Kritik übertragbar; deutsche Gesundheitssysteme erfassen Geschlecht und Sexualität ähnlich binär und verlieren marginalisierte Gruppen.</w:t>
      </w:r>
    </w:p>
    <w:p>
      <w:r>
        <w:rPr>
          <w:color w:val="5A7D3A"/>
          <w:sz w:val="18"/>
        </w:rPr>
        <w:t>https://pubmed.ncbi.nlm.nih.gov/42885875/</w:t>
      </w:r>
    </w:p>
    <w:p>
      <w:pPr>
        <w:pStyle w:val="Heading2"/>
      </w:pPr>
      <w:r>
        <w:t>Affirmierende Umgebung und psychisches Wohlbefinden: Welche Rolle spielt die LGBTQ+-Identität?</w:t>
      </w:r>
    </w:p>
    <w:p>
      <w:r>
        <w:rPr>
          <w:i/>
          <w:color w:val="666666"/>
          <w:sz w:val="18"/>
        </w:rPr>
        <w:t>Hoffman AJ et al.  ·  J Res Adolesc  ·  Dez. 2026  ·  PMID 42885205</w:t>
      </w:r>
    </w:p>
    <w:p>
      <w:r>
        <w:t>Querschnittstudie mit 156 LGBTQ+-Jugendlichen of Color (Alter 13–26), die die Moderation von LGBTQ+-Zentralität und privatem Selbstwertgefühl auf den Zusammenhang zwischen Mikroaffirmationen und Wohlbefinden untersuchte.</w:t>
      </w:r>
    </w:p>
    <w:p>
      <w:r>
        <w:rPr>
          <w:b/>
        </w:rPr>
        <w:t xml:space="preserve">Ergebnis: </w:t>
      </w:r>
      <w:r>
        <w:t>Positive Korrelationen zwischen LGBTQ+-Mikroaffirmationen und psychologischem, emotionalem und sozialem Wohlbefinden. LGBTQ+-Zentralität und privater Selbstwertgefühl moderierten die Beziehung; Assoziationen signifikant bei durchschnittlichen und hohen Werten, sozialer Wohlbefund nur bei hohem privatem Selbstwertgefühl.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Identitäts- und Zugehörigkeitsfaktoren; deutsche Daten zu affirmativen Umgebungen für LGBTQ+-Jugendliche fehlen völlig.</w:t>
      </w:r>
    </w:p>
    <w:p>
      <w:r>
        <w:rPr>
          <w:color w:val="5A7D3A"/>
          <w:sz w:val="18"/>
        </w:rPr>
        <w:t>https://pubmed.ncbi.nlm.nih.gov/42885205/</w:t>
      </w:r>
    </w:p>
    <w:p>
      <w:pPr>
        <w:pStyle w:val="Heading2"/>
      </w:pPr>
      <w:r>
        <w:t>Sozialleistungen und sexuelle Gewalt bei Jugendlichen: Geschlechtsspezifische Schutzmechanismen</w:t>
      </w:r>
    </w:p>
    <w:p>
      <w:r>
        <w:rPr>
          <w:i/>
          <w:color w:val="666666"/>
          <w:sz w:val="18"/>
        </w:rPr>
        <w:t>Langwenya N et al.  ·  Soc Sci Med  ·  11.09.2026  ·  PMID 42784852</w:t>
      </w:r>
    </w:p>
    <w:p>
      <w:r>
        <w:t>Prospektive Kohorte von 1.353 Jugendlichen (69 % mit HIV) in Südafrika; gemischte Effektmodelle und GSEM zur Untersuchung indirekter Pfade von Sozialleistungen über Haushalt, Schule und Elternbetreuung zu reduzierten Quoten für sexuelle Gewalt und transaktionalen Sex.</w:t>
      </w:r>
    </w:p>
    <w:p>
      <w:r>
        <w:rPr>
          <w:b/>
        </w:rPr>
        <w:t xml:space="preserve">Ergebnis: </w:t>
      </w:r>
      <w:r>
        <w:t>Bei Frauen: Sozialleistungen reduzierten Kontakt-/Nicht-Kontakt-sexuelle Gewalt und transaktionalen Sex über Haushaltsnotwendigkeiten, die mit höherer Schulbeteiligung verbunden waren. Bei Männern: keine indirekten Pfade; direkte Assoziation mit reduzierter Gewalt. Elternüberwachung assoziiert mit niedrigerer Gewalt bei Frauen und transaktionalem Sex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 – Zugangsweg und sozioökonomische Vulnerabilität; deutsche Routinedaten zu geschlechtsspezifischen Gewaltrisiken bei Jugendlichen fehlen; Policy-relevanz aber hoch.</w:t>
      </w:r>
    </w:p>
    <w:p>
      <w:r>
        <w:rPr>
          <w:color w:val="5A7D3A"/>
          <w:sz w:val="18"/>
        </w:rPr>
        <w:t>https://pubmed.ncbi.nlm.nih.gov/42784852/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