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Geschlecht und Gesundheit</w:t>
      </w:r>
    </w:p>
    <w:p>
      <w:r>
        <w:rPr>
          <w:i/>
          <w:color w:val="666666"/>
          <w:sz w:val="18"/>
        </w:rPr>
        <w:t>Stand: 11.09.2026  |  6 Studien  |  gender.m-vf.de</w:t>
      </w:r>
    </w:p>
    <w:p>
      <w:pPr>
        <w:pStyle w:val="Heading1"/>
      </w:pPr>
      <w:r>
        <w:t>Aufgenommen am 11.09.2026</w:t>
      </w:r>
    </w:p>
    <w:p>
      <w:pPr>
        <w:pStyle w:val="Heading2"/>
      </w:pPr>
      <w:r>
        <w:t>Antidepressant Behandlung bei Depression: Geschlechter-unterschiede in Endocannabinoid-Biomarkern</w:t>
      </w:r>
    </w:p>
    <w:p>
      <w:r>
        <w:rPr>
          <w:i/>
          <w:color w:val="666666"/>
          <w:sz w:val="18"/>
        </w:rPr>
        <w:t>Sorkhou M et al.  ·  Eur Arch Psychiatry Clin Neurosci  ·  25.08.2026  ·  PMID 42640306</w:t>
      </w:r>
    </w:p>
    <w:p>
      <w:r>
        <w:t>Sekundäranalyse einer kanadischen antidepressiven Behandlungsstudie mit 178 Patienten auf Geschlechtsunterschiede in Endocannabinoid-Biomarkern und deren Assoziation zu Behandlungserfolg geprüft.</w:t>
      </w:r>
    </w:p>
    <w:p>
      <w:r>
        <w:rPr>
          <w:b/>
        </w:rPr>
        <w:t xml:space="preserve">Ergebnis: </w:t>
      </w:r>
      <w:r>
        <w:t>Keine Unterschiede in mRNA oder SNP nach Korrektur gefunden; tiefere DAGLA-mRNA bei Männern mit besserem Symptomrückgang in Woche 8 (FDR-korrigiert), nicht bei Frauen. Größere Studien nötig zur Klärung geschlechtsspezifischer Effekte.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Kanada - Mechanismus unklar, Biomarker ohne Versorgungsbezug.</w:t>
      </w:r>
    </w:p>
    <w:p>
      <w:r>
        <w:rPr>
          <w:color w:val="5A7D3A"/>
          <w:sz w:val="18"/>
        </w:rPr>
        <w:t>https://pubmed.ncbi.nlm.nih.gov/42640306/</w:t>
      </w:r>
    </w:p>
    <w:p>
      <w:pPr>
        <w:pStyle w:val="Heading2"/>
      </w:pPr>
      <w:r>
        <w:t>Hochaltrigkeit in Deutschland: Demografie, regionale Ungleichheit und Gesundheit</w:t>
      </w:r>
    </w:p>
    <w:p>
      <w:r>
        <w:rPr>
          <w:i/>
          <w:color w:val="666666"/>
          <w:sz w:val="18"/>
        </w:rPr>
        <w:t>Wolter B et al.  ·  Bundesgesundheitsblatt Gesundheitsforschung Gesundheitsschutz  ·  18.08.2026  ·  PMID 42611051</w:t>
      </w:r>
    </w:p>
    <w:p>
      <w:r>
        <w:t>Übersicht zur Lebenslage und Gesundheit von über 80-Jährigen in Deutschland basierend auf Gesundheit-65+-Studie (RKI) und D80+-Studie mit Fokus auf geschlechtsspezifische Unterschiede.</w:t>
      </w:r>
    </w:p>
    <w:p>
      <w:r>
        <w:rPr>
          <w:b/>
        </w:rPr>
        <w:t xml:space="preserve">Ergebnis: </w:t>
      </w:r>
      <w:r>
        <w:t>Frauen überwiegen unter Hochaltrigen deutlich; geschlechtsspezifische Unterschiede in Einkommen, Lebenserwartung und Familienstand dokumentiert; strukturschwache Regionen tragen überproportional viele ältere Menschen mit schlechteren Versorgungsstrukturen.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Routinedaten, RKI-Studien, direkt anwendbar auf Versorgungsplanung.</w:t>
      </w:r>
    </w:p>
    <w:p>
      <w:r>
        <w:rPr>
          <w:color w:val="5A7D3A"/>
          <w:sz w:val="18"/>
        </w:rPr>
        <w:t>https://pubmed.ncbi.nlm.nih.gov/42611051/</w:t>
      </w:r>
    </w:p>
    <w:p>
      <w:pPr>
        <w:pStyle w:val="Heading2"/>
      </w:pPr>
      <w:r>
        <w:t>Schlafapnoe und Sterblichkeit: Geschlechterunterschiede in US-Veteranen-kohorte</w:t>
      </w:r>
    </w:p>
    <w:p>
      <w:r>
        <w:rPr>
          <w:i/>
          <w:color w:val="666666"/>
          <w:sz w:val="18"/>
        </w:rPr>
        <w:t>Azarian M et al.  ·  Respir Med  ·  17.08.2026  ·  PMID 42607739</w:t>
      </w:r>
    </w:p>
    <w:p>
      <w:r>
        <w:t>Retrospektive Kohortenstudie mit 146.145 Veteranen (13,2% Frauen) zu Geschlechtsunterschieden in der Assoziation zwischen schwerer Schlafapnoe (AHI≥30) und Gesamtsterblichkeit.</w:t>
      </w:r>
    </w:p>
    <w:p>
      <w:r>
        <w:rPr>
          <w:b/>
        </w:rPr>
        <w:t xml:space="preserve">Ergebnis: </w:t>
      </w:r>
      <w:r>
        <w:t>Nach Vollausgleich: schwere Schlafapnoe mit niedrigerer Mortalität bei Frauen (aOR 0,64, 95%-KI 0,54–0,76) und Männern (aOR 0,56, 95%-KI 0,54–0,58); in mittlerem und höherem Alter ausgeprägter, keine signifikanten Effekte in jungen Jahren.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USA-Veteranen, Survivor-Bias likely, Behandlung unklar – nur Sicherheitsbefund übertragbar.</w:t>
      </w:r>
    </w:p>
    <w:p>
      <w:r>
        <w:rPr>
          <w:color w:val="5A7D3A"/>
          <w:sz w:val="18"/>
        </w:rPr>
        <w:t>https://pubmed.ncbi.nlm.nih.gov/42607739/</w:t>
      </w:r>
    </w:p>
    <w:p>
      <w:pPr>
        <w:pStyle w:val="Heading2"/>
      </w:pPr>
      <w:r>
        <w:t>Frühgeburtsungleichheit in England: deprivations- und ethnizitätsgradient in versorgungspolitik</w:t>
      </w:r>
    </w:p>
    <w:p>
      <w:r>
        <w:rPr>
          <w:i/>
          <w:color w:val="666666"/>
          <w:sz w:val="18"/>
        </w:rPr>
        <w:t>Nsugbe E et al.  ·  Soc Sci Med  ·  31.07.2026  ·  PMID 42551388</w:t>
      </w:r>
    </w:p>
    <w:p>
      <w:r>
        <w:t>Analyse von 1.179.195 Lebendgeburten 2020–2021 in England zur Quantifizierung von Armuts- und Ethnizitätsgradienten in Frühgeburtsraten mit Übersetzung in vorrangige Zielgruppen.</w:t>
      </w:r>
    </w:p>
    <w:p>
      <w:r>
        <w:rPr>
          <w:b/>
        </w:rPr>
        <w:t xml:space="preserve">Ergebnis: </w:t>
      </w:r>
      <w:r>
        <w:t>Monotone Zunahme von 6,39% (reichste Quintile) zu 8,71% (ärmste Quintile); ärmste Quintile verantwortlich für 57,7% der deprivationsattributierten Überschussfälle; schwarze Kariben 10,22% (RR 1,37 vs. weiß-britisch).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England, vergleichbare Systeme (Niederlande, Belgien), direkt nutzbar für gezielte Ressourcenallokation.</w:t>
      </w:r>
    </w:p>
    <w:p>
      <w:r>
        <w:rPr>
          <w:color w:val="5A7D3A"/>
          <w:sz w:val="18"/>
        </w:rPr>
        <w:t>https://pubmed.ncbi.nlm.nih.gov/42551388/</w:t>
      </w:r>
    </w:p>
    <w:p>
      <w:pPr>
        <w:pStyle w:val="Heading2"/>
      </w:pPr>
      <w:r>
        <w:t>Indikatoren in Mutter-Neugeborenen-Gesundheit: globale messung neu denken</w:t>
      </w:r>
    </w:p>
    <w:p>
      <w:r>
        <w:rPr>
          <w:i/>
          <w:color w:val="666666"/>
          <w:sz w:val="18"/>
        </w:rPr>
        <w:t>Molenaar J et al.  ·  Soc Sci Med  ·  21.07.2026  ·  PMID 42501578</w:t>
      </w:r>
    </w:p>
    <w:p>
      <w:r>
        <w:t>Qualitative Studie mit 24 Interviews 2023–2025 mit globalen Akteuren zu Herausforderungen der Indikatoren-standardisierung und -priorisierung in Mutter- und Neugeborenen-gesundheit.</w:t>
      </w:r>
    </w:p>
    <w:p>
      <w:r>
        <w:rPr>
          <w:b/>
        </w:rPr>
        <w:t xml:space="preserve">Ergebnis: </w:t>
      </w:r>
      <w:r>
        <w:t>Feld geprägt von Indikatorüberfluss ('überladene Teller'), gemischte Bewertung von Qualitäts-messungen; global-upward Accountability überwiegt lokal-decision-making; 'Indicator-Menü'-Ansätze (kuratiert, aber selektierbar) als Lösungsweg vorgeschlagen, erfordern aber Kapazitätsaufbau lokal.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Qualitativ, global – konzeptionell, nicht direkt Versorgung in Deutschland.</w:t>
      </w:r>
    </w:p>
    <w:p>
      <w:r>
        <w:rPr>
          <w:color w:val="5A7D3A"/>
          <w:sz w:val="18"/>
        </w:rPr>
        <w:t>https://pubmed.ncbi.nlm.nih.gov/42501578/</w:t>
      </w:r>
    </w:p>
    <w:p>
      <w:pPr>
        <w:pStyle w:val="Heading2"/>
      </w:pPr>
      <w:r>
        <w:t>Zugang zu Suchtbehandlung: LGBQ+-Frauen berichten Diskriminierung und Fragmentierung</w:t>
      </w:r>
    </w:p>
    <w:p>
      <w:r>
        <w:rPr>
          <w:i/>
          <w:color w:val="666666"/>
          <w:sz w:val="18"/>
        </w:rPr>
        <w:t>Hillyard M et al.  ·  Front Public Health  ·  14.05.2026  ·  PMID 42221606</w:t>
      </w:r>
    </w:p>
    <w:p>
      <w:r>
        <w:t>Qualitative Studie mit 21 semi-strukturierten Interviews mit sexuellen Minderheits-Frauen in England zu Barrieren und Förderfaktoren beim Zugang zu Suchtbehandlung.</w:t>
      </w:r>
    </w:p>
    <w:p>
      <w:r>
        <w:rPr>
          <w:b/>
        </w:rPr>
        <w:t xml:space="preserve">Ergebnis: </w:t>
      </w:r>
      <w:r>
        <w:t>Wenige hatten Behandlung erhalten; Erfahrungen von inadäquater, fragmentarischer oder unterbrochener Versorgung; explizite Homophobie, Diskriminierungs-angst, und Stigmatisierung als Zugangsbarrieren; Förderfaktoren: Akzeptanz von Sexualität, LGBTQ+-Peers, strukturelle Reformen nötig.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qualitativ, Versorgungsstruktur-barrieren – direkt relevant für deutsche Suchtbehandlung.</w:t>
      </w:r>
    </w:p>
    <w:p>
      <w:r>
        <w:rPr>
          <w:color w:val="5A7D3A"/>
          <w:sz w:val="18"/>
        </w:rPr>
        <w:t>https://pubmed.ncbi.nlm.nih.gov/42221606/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Geschlecht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2026-09-11T06:00:00Z</dcterms:created>
  <dcterms:modified xsi:type="dcterms:W3CDTF">2026-09-11T06:00:00Z</dcterms:modified>
  <cp:category/>
</cp:coreProperties>
</file>