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21.09.2026  |  6 Studien  |  gender.m-vf.de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Schlafstörungen nach Schlaganfall: Frauen 1,3× häufiger betroffen</w:t>
      </w:r>
    </w:p>
    <w:p>
      <w:r>
        <w:rPr>
          <w:i/>
          <w:color w:val="666666"/>
          <w:sz w:val="18"/>
        </w:rPr>
        <w:t>Susanty S et al.  ·  F1000Res  ·  15.09.2026  ·  PMID 42763448</w:t>
      </w:r>
    </w:p>
    <w:p>
      <w:r>
        <w:t>Bevölkerungsquerschnitt von 7.147 indonesischen Schlaganfallüberlebenden aus der Basic Health Research 2018 zur Prävalenz von Schlafstörungen nach Geschlecht und assoziierten Faktoren.</w:t>
      </w:r>
    </w:p>
    <w:p>
      <w:r>
        <w:rPr>
          <w:b/>
        </w:rPr>
        <w:t xml:space="preserve">Ergebnis: </w:t>
      </w:r>
      <w:r>
        <w:t>Gesamtprävalenz Schlafstörung 28,4% (95%-KI: 27,4–29,4%). Frauen 34,4% vs. Männer 26,1% (p&lt;0,05). Bei Männern assoziiert: tägliches Rauchen, niedriges Bildungsniveau, Landbewohner, geringe körperliche Aktivität. Bei Frauen assoziiert: Komorbiditäten (Herz-Kreislauf-Erkrankung, Asthma). Unterschiede persistent über Altersgruppen; dyspnoe während akuter Phase nur bei Frauen signifikanter Prädiktor.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Südostasiatische Bevölkerungsdaten; Geschlechtsunterschiede in Symptomen und Risikofaktoren biologisch oder durch Versorgungszugang unklar.</w:t>
      </w:r>
    </w:p>
    <w:p>
      <w:r>
        <w:rPr>
          <w:color w:val="5A7D3A"/>
          <w:sz w:val="18"/>
        </w:rPr>
        <w:t>https://pubmed.ncbi.nlm.nih.gov/42763448/</w:t>
      </w:r>
    </w:p>
    <w:p>
      <w:pPr>
        <w:pStyle w:val="Heading2"/>
      </w:pPr>
      <w:r>
        <w:t>Unfallbedingte Todesfälle: Stadt-Land-Unterschiede in China 2002–2021</w:t>
      </w:r>
    </w:p>
    <w:p>
      <w:r>
        <w:rPr>
          <w:i/>
          <w:color w:val="666666"/>
          <w:sz w:val="18"/>
        </w:rPr>
        <w:t>Wu Y et al.  ·  BMC Public Health  ·  14.09.2026  ·  PMID 42763397</w:t>
      </w:r>
    </w:p>
    <w:p>
      <w:r>
        <w:t>Analyse von 20 Jahren offizieller chinesischer Gesundheitsdaten zu Verletzungsmortalität nach Urbanisationsgrad, Geschlecht, Alter und Unfallart.</w:t>
      </w:r>
    </w:p>
    <w:p>
      <w:r>
        <w:rPr>
          <w:b/>
        </w:rPr>
        <w:t xml:space="preserve">Ergebnis: </w:t>
      </w:r>
      <w:r>
        <w:t>Altersstandardisierte ländliche Mortalität um Faktor 1,07–2,37 höher als in städtischen Gebieten; Unterschiede bestanden über alle Geschlechter und Altersgruppen. Disparitäten hauptsächlich durch Verkehrsunfälle, Suizide und Stürze getrieben; Gap für Stürze und Vergiftungen verbreiterte sich signifikant. Keine geschlechtsspezifischen Interaktionen berichtet, doch Muster über beide Geschlechter konsistent.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Bevölkerungsbasierte Routinedaten, aber China-spezifische Risiken (Drinkwater-Unfälle); Übertragbarkeit auf ländliche deutsche Versorgungslücken begrenzt.</w:t>
      </w:r>
    </w:p>
    <w:p>
      <w:r>
        <w:rPr>
          <w:color w:val="5A7D3A"/>
          <w:sz w:val="18"/>
        </w:rPr>
        <w:t>https://pubmed.ncbi.nlm.nih.gov/42763397/</w:t>
      </w:r>
    </w:p>
    <w:p>
      <w:pPr>
        <w:pStyle w:val="Heading2"/>
      </w:pPr>
      <w:r>
        <w:t>Post-COVID-Syndrom: Frauen berichten mehr Müdigkeit, Angst und Arbeitsausfälle</w:t>
      </w:r>
    </w:p>
    <w:p>
      <w:r>
        <w:rPr>
          <w:i/>
          <w:color w:val="666666"/>
          <w:sz w:val="18"/>
        </w:rPr>
        <w:t>Sauer A et al.  ·  BMC Pulm Med  ·  19.09.2026  ·  PMID 42763394</w:t>
      </w:r>
    </w:p>
    <w:p>
      <w:r>
        <w:t>Prospektive Kohortenstudie an 433 Patienten mit anhaltenden COVID-19-Symptomen über 10 Monate an der Hannover Medical School, Deutschland.</w:t>
      </w:r>
    </w:p>
    <w:p>
      <w:r>
        <w:rPr>
          <w:b/>
        </w:rPr>
        <w:t xml:space="preserve">Ergebnis: </w:t>
      </w:r>
      <w:r>
        <w:t>Nach Anpassung für Alter, BMI, COVID-19-Schweregrad und Komorbiditäten zeigten Frauen signifikant höhere Fatigue (β=3,3; p=0,006), Angststörung (GAD-2 β=0,5; p=0,021), niedrigere Lebensqualität (EQ-5D-3L β=−0,6; p=0,004) und dreifach höhere klinisch relevante Arbeitsproduktivitätsbeeinträchtigung (OR=3,0; p=0,020). Bei Männern waren Fieber und Durchfall, bei Frauen BMI und Dyspnoe während akuter COVID-19 mit schlechterer Arbeitsproduktivität assoziiert. Diese Unterschiede persistierten über 10 Monate ohne signifikante Veränderung.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prospektives Studiendesign, vollständige Geschlechterstratifikation.</w:t>
      </w:r>
    </w:p>
    <w:p>
      <w:r>
        <w:rPr>
          <w:color w:val="5A7D3A"/>
          <w:sz w:val="18"/>
        </w:rPr>
        <w:t>https://pubmed.ncbi.nlm.nih.gov/42763394/</w:t>
      </w:r>
    </w:p>
    <w:p>
      <w:pPr>
        <w:pStyle w:val="Heading2"/>
      </w:pPr>
      <w:r>
        <w:t>Major Depression: Geschlechtsspezifisches genetisches Risiko mit höherer Polygenie bei Frauen</w:t>
      </w:r>
    </w:p>
    <w:p>
      <w:r>
        <w:rPr>
          <w:i/>
          <w:color w:val="666666"/>
          <w:sz w:val="18"/>
        </w:rPr>
        <w:t>Jordan B  ·  Med Sci (Paris)  ·  14.09.2026  ·  PMID 42735352</w:t>
      </w:r>
    </w:p>
    <w:p>
      <w:r>
        <w:t>Narrative Übersicht über Genomweit-Assoziationsstudien (GWAS) zur genetischen Architektur von Major Depression und Geschlechtsunterschiede in Vererbbarkeit und genetischen Effekten.</w:t>
      </w:r>
    </w:p>
    <w:p>
      <w:r>
        <w:rPr>
          <w:b/>
        </w:rPr>
        <w:t xml:space="preserve">Ergebnis: </w:t>
      </w:r>
      <w:r>
        <w:t>Major Depression zeigt erhebliche Vererbbarkeit mit hochpolygener genetischer Landschaft und signifikanten Geschlechtsdifferenzen: höhere und polygener verteilte genetische Einflüsse bei Frauen im Vergleich zu Männern; Mechanismen jedoch noch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Grundlagenforschung; zeigt biologische Komponente, aber ohne Versorgungsbezug oder therapeutische Implikationen für deutsches System.</w:t>
      </w:r>
    </w:p>
    <w:p>
      <w:r>
        <w:rPr>
          <w:color w:val="5A7D3A"/>
          <w:sz w:val="18"/>
        </w:rPr>
        <w:t>https://pubmed.ncbi.nlm.nih.gov/42735352/</w:t>
      </w:r>
    </w:p>
    <w:p>
      <w:pPr>
        <w:pStyle w:val="Heading2"/>
      </w:pPr>
      <w:r>
        <w:t>Krebsversorgung für LGBTQIA+-Patienten: Lücken in Wissen, Screening und Dokumentation</w:t>
      </w:r>
    </w:p>
    <w:p>
      <w:r>
        <w:rPr>
          <w:i/>
          <w:color w:val="666666"/>
          <w:sz w:val="18"/>
        </w:rPr>
        <w:t>Alqaisi O et al.  ·  Cancer Med  ·  Sept. 2026  ·  PMID 42728825</w:t>
      </w:r>
    </w:p>
    <w:p>
      <w:r>
        <w:t>Systematische Scoping Review von 20 Studien (2015–2025) zu Barrieren und Förderern für inklusive Krebsversorgung von sexuellen und geschlechtlichen Minderheiten in mehreren Ländern.</w:t>
      </w:r>
    </w:p>
    <w:p>
      <w:r>
        <w:rPr>
          <w:b/>
        </w:rPr>
        <w:t xml:space="preserve">Ergebnis: </w:t>
      </w:r>
      <w:r>
        <w:t>Kritische Wissenslücken bei Fachkräften: nur 5% beantworteten alle LGBTQIA+-Fragen korrekt, 40% berichteten Schwierigkeiten mit sexueller Gesundheit, 80% interessiert an Training. 65% der LGBTQIA+-Personen unsicher über Screening-Bedarf; 76% fehlte mind. eine HPV-Impfdosis. Schlüsselförderer: inklusive Kommunikation, routinemäßige Dokumentation von Geschlechtsidentität/sexueller Orientierung, sichtbare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Multikontinentale Evidenz; konkrete Implementierungsbarrieren für deutsches System (elektronische Patientenakte, Schulung) identifizierbar.</w:t>
      </w:r>
    </w:p>
    <w:p>
      <w:r>
        <w:rPr>
          <w:color w:val="5A7D3A"/>
          <w:sz w:val="18"/>
        </w:rPr>
        <w:t>https://pubmed.ncbi.nlm.nih.gov/42728825/</w:t>
      </w:r>
    </w:p>
    <w:p>
      <w:pPr>
        <w:pStyle w:val="Heading2"/>
      </w:pPr>
      <w:r>
        <w:t>Geschlechtsangleichende Hormontherapie bei autistischen Erwachsenen verbessert berufliche Identität</w:t>
      </w:r>
    </w:p>
    <w:p>
      <w:r>
        <w:rPr>
          <w:i/>
          <w:color w:val="666666"/>
          <w:sz w:val="18"/>
        </w:rPr>
        <w:t>Miller SL et al.  ·  Aust Occup Ther J  ·  Okt. 2026  ·  PMID 42711810</w:t>
      </w:r>
    </w:p>
    <w:p>
      <w:r>
        <w:t>Qualitative Studie mit 6 autistischen transsexuellen/geschlechtsdiversen Erwachsenen unter Hormontherapie in australischer Geschlechtsklinik; Interviews und sensorisches Profil.</w:t>
      </w:r>
    </w:p>
    <w:p>
      <w:r>
        <w:rPr>
          <w:b/>
        </w:rPr>
        <w:t xml:space="preserve">Ergebnis: </w:t>
      </w:r>
      <w:r>
        <w:t>Autistische transsexuelle Erwachsene berichteten verbesserte Lebensqualität, psychische Gesundheit und berufliche Identität durch Hormontherapie. Einzigartige Herausforderungen durch Kombination Autismus+Geschlechtsdiversität bei Therapieadhärenz (sensorische und exekutive Dysfunktion); hormonale Veränderungen erhöhten Engagement in geschlechtsspezifischen Rollen/Berufen. Ergotherapie könnte Outcomes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 Spezialklinik, qualitatives Design; übertragbar auf deutsche Geschlechtskliniken (Expertise vorhanden), aber kleine Fallzahl und begrenzte Generalisierbarkeit.</w:t>
      </w:r>
    </w:p>
    <w:p>
      <w:r>
        <w:rPr>
          <w:color w:val="5A7D3A"/>
          <w:sz w:val="18"/>
        </w:rPr>
        <w:t>https://pubmed.ncbi.nlm.nih.gov/42711810/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