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Geschlecht und Gesundheit</w:t>
      </w:r>
    </w:p>
    <w:p>
      <w:r>
        <w:rPr>
          <w:i/>
          <w:color w:val="666666"/>
          <w:sz w:val="18"/>
        </w:rPr>
        <w:t>Stand: 15.09.2026  |  6 Studien  |  gender.m-vf.de</w:t>
      </w:r>
    </w:p>
    <w:p>
      <w:pPr>
        <w:pStyle w:val="Heading1"/>
      </w:pPr>
      <w:r>
        <w:t>Aufgenommen am 15.09.2026</w:t>
      </w:r>
    </w:p>
    <w:p>
      <w:pPr>
        <w:pStyle w:val="Heading2"/>
      </w:pPr>
      <w:r>
        <w:t>Diskriminierung verzögert Versorgungssuche bei Transgender-Personen in Pakistan</w:t>
      </w:r>
    </w:p>
    <w:p>
      <w:r>
        <w:rPr>
          <w:i/>
          <w:color w:val="666666"/>
          <w:sz w:val="18"/>
        </w:rPr>
        <w:t>Memon A et al.  ·  East Mediterr Health J  ·  03.09.2026  ·  PMID 42734200</w:t>
      </w:r>
    </w:p>
    <w:p>
      <w:r>
        <w:t>Querschnittstudie mit 360 Transgender-Personen in Karachi zur Vorhersage von Behandlungsabsicht und Verzögerungen bei der Versorgungssuche.</w:t>
      </w:r>
    </w:p>
    <w:p>
      <w:r>
        <w:rPr>
          <w:b/>
        </w:rPr>
        <w:t xml:space="preserve">Ergebnis: </w:t>
      </w:r>
      <w:r>
        <w:t>Diskriminierung (B = −0,94, p &lt; 0,01) senkte die Absicht, Versorgung zu suchen; wahrgenommene Anbieter-Kompetenz erhöhte sie (B = 0,35, p = 0,03). Diskriminierung erhöhte Verzögerungen (OR = 3,77, p = 0,013). Älteres Alter, höhere Bildung und Diskriminierung beschleunigten Verzögerungen; häufigere Besuche und wahrgenommene Anbieter-Kompetenz verkürzten sie.</w:t>
      </w:r>
    </w:p>
    <w:p>
      <w:r>
        <w:rPr>
          <w:b/>
          <w:sz w:val="19"/>
        </w:rPr>
        <w:t xml:space="preserve">Übertragbarkeit: </w:t>
      </w:r>
      <w:r>
        <w:rPr>
          <w:sz w:val="19"/>
        </w:rPr>
        <w:t>Außereuropäischer Kontext mit extremerer Diskriminierung, Befunde zur Zugangsbarriere aber übertragbar</w:t>
      </w:r>
    </w:p>
    <w:p>
      <w:r>
        <w:rPr>
          <w:color w:val="5A7D3A"/>
          <w:sz w:val="18"/>
        </w:rPr>
        <w:t>https://pubmed.ncbi.nlm.nih.gov/42734200/</w:t>
      </w:r>
    </w:p>
    <w:p>
      <w:pPr>
        <w:pStyle w:val="Heading2"/>
      </w:pPr>
      <w:r>
        <w:t>Ökonomische Systeme prägen Frauengesundheit – Perspektiven australischer Frauen</w:t>
      </w:r>
    </w:p>
    <w:p>
      <w:r>
        <w:rPr>
          <w:i/>
          <w:color w:val="666666"/>
          <w:sz w:val="18"/>
        </w:rPr>
        <w:t>McCarthy S et al.  ·  Health Promot Int  ·  01.09.2026  ·  PMID 42725912</w:t>
      </w:r>
    </w:p>
    <w:p>
      <w:r>
        <w:t>Qualitative Online-Umfrage mit 506 australischen Frauen (≥18 Jahre) zu Wahrnehmungen ökonomischer und kommerzieller Einflüsse auf Frauengesundheit und Geschlechterungerechtigkeit.</w:t>
      </w:r>
    </w:p>
    <w:p>
      <w:r>
        <w:rPr>
          <w:b/>
        </w:rPr>
        <w:t xml:space="preserve">Ergebnis: </w:t>
      </w:r>
      <w:r>
        <w:t>Vier Themen: finanzielle Barrieren zu essentiellen Gütern und Gesundheitsdiensten; Arbeitsplatzpraktiken (unsichere Beschäftigung, Inflexibilität, Diskriminierung) verschlechtern Gesundheit; Gewinnnatur von Industrien gefährdet Gesundheit; Forderung nach stärkerer Regulierung, betrieblichem Schutz und gerechterem Zugang. Frauen benannten strukturelle Treiber von Ungleichheit.</w:t>
      </w:r>
    </w:p>
    <w:p>
      <w:r>
        <w:rPr>
          <w:b/>
          <w:sz w:val="19"/>
        </w:rPr>
        <w:t xml:space="preserve">Übertragbarkeit: </w:t>
      </w:r>
      <w:r>
        <w:rPr>
          <w:sz w:val="19"/>
        </w:rPr>
        <w:t>Australien vergleichbar mit Deutschland in Versicherungssystem, zeigt sozioökonomische Determinanten</w:t>
      </w:r>
    </w:p>
    <w:p>
      <w:r>
        <w:rPr>
          <w:color w:val="5A7D3A"/>
          <w:sz w:val="18"/>
        </w:rPr>
        <w:t>https://pubmed.ncbi.nlm.nih.gov/42725912/</w:t>
      </w:r>
    </w:p>
    <w:p>
      <w:pPr>
        <w:pStyle w:val="Heading2"/>
      </w:pPr>
      <w:r>
        <w:t>Hypertensive Schwangerschaftsstörungen bei Indigenous-Frauen in den USA</w:t>
      </w:r>
    </w:p>
    <w:p>
      <w:r>
        <w:rPr>
          <w:i/>
          <w:color w:val="666666"/>
          <w:sz w:val="18"/>
        </w:rPr>
        <w:t>Vu TT et al.  ·  Curr Hypertens Rep  ·  04.09.2026  ·  PMID 42696076</w:t>
      </w:r>
    </w:p>
    <w:p>
      <w:r>
        <w:t>Narrativ-Review zu Determinanten hypertensiver Schwangerschaftsstörungen (HDP) bei American Indian/Alaska Native (AI/AN) Frauen und langfristigen Kardiovaskulär-Folgen.</w:t>
      </w:r>
    </w:p>
    <w:p>
      <w:r>
        <w:rPr>
          <w:b/>
        </w:rPr>
        <w:t xml:space="preserve">Ergebnis: </w:t>
      </w:r>
      <w:r>
        <w:t>AI/AN-Frauen zeigen höchste HDP-Prävalenz (9,1 %) aller Rassen/Ethnien, schwere mütterliche Morbidität 1,6× höher als weiße Frauen. Strukturelle Determinanten: Kolonialismus-Erbe, Rassenmisklassifikation, Daten-Souveränitätsverletzungen, unterbrochene traditionelle Geburtsweisen. Qualitativ belegt: Diskriminierung, kulturelle Geringschätzung, Anbieter-Bias. 2× erhöhtes kardiovaskuläres Risiko post-partum, aber Barrieren zu Follow-up und Screening.</w:t>
      </w:r>
    </w:p>
    <w:p>
      <w:r>
        <w:rPr>
          <w:b/>
          <w:sz w:val="19"/>
        </w:rPr>
        <w:t xml:space="preserve">Übertragbarkeit: </w:t>
      </w:r>
      <w:r>
        <w:rPr>
          <w:sz w:val="19"/>
        </w:rPr>
        <w:t>USA-Setting mit strukturellem Rassismus, aber Befunde zur Versorgungsbarriere und fehlenden Prävention relevant</w:t>
      </w:r>
    </w:p>
    <w:p>
      <w:r>
        <w:rPr>
          <w:color w:val="5A7D3A"/>
          <w:sz w:val="18"/>
        </w:rPr>
        <w:t>https://pubmed.ncbi.nlm.nih.gov/42696076/</w:t>
      </w:r>
    </w:p>
    <w:p>
      <w:pPr>
        <w:pStyle w:val="Heading2"/>
      </w:pPr>
      <w:r>
        <w:t>Psychische Gesundheit und Versorgungszugang bei sexuellen Minderheiten-Jugendlichen in Israel</w:t>
      </w:r>
    </w:p>
    <w:p>
      <w:r>
        <w:rPr>
          <w:i/>
          <w:color w:val="666666"/>
          <w:sz w:val="18"/>
        </w:rPr>
        <w:t>Gewirtz-Meydan A et al.  ·  Isr J Health Policy Res  ·  04.09.2026  ·  PMID 42693470</w:t>
      </w:r>
    </w:p>
    <w:p>
      <w:r>
        <w:t>Latent-Profile-Analyse bei 1.129 israelischen Jugendlichen (30 % sexuelle Minderheiten, Alter 16–18 Jahre) zur Identifikation psychischer Risikoprofile und Barrieren zur Hilfesuche.</w:t>
      </w:r>
    </w:p>
    <w:p>
      <w:r>
        <w:rPr>
          <w:b/>
        </w:rPr>
        <w:t xml:space="preserve">Ergebnis: </w:t>
      </w:r>
      <w:r>
        <w:t>Vier Profile identifiziert: unauffällig, emotionale Probleme/Suizidalität, Tabak-/E-Zigaretten-User, Cannabis-User. Sexuelle Minderheiten berichteten mehr Barrieren (identitätsbezogen, strukturell, emotional) und niedrigere Hilfeabsicht. Sexuelle Orientierung moderierte diese Assoziation: schwächere Hilfeabsicht bei sexuellen Minderheiten unter Tabak-/E-Zigaretten-Usern, stärker bei Cannabis-Usern.</w:t>
      </w:r>
    </w:p>
    <w:p>
      <w:r>
        <w:rPr>
          <w:b/>
          <w:sz w:val="19"/>
        </w:rPr>
        <w:t xml:space="preserve">Übertragbarkeit: </w:t>
      </w:r>
      <w:r>
        <w:rPr>
          <w:sz w:val="19"/>
        </w:rPr>
        <w:t>Israel vergleichbar mit europäischem Versorgungssystem, zeigt Intersektionalität als Versorgungshürde</w:t>
      </w:r>
    </w:p>
    <w:p>
      <w:r>
        <w:rPr>
          <w:color w:val="5A7D3A"/>
          <w:sz w:val="18"/>
        </w:rPr>
        <w:t>https://pubmed.ncbi.nlm.nih.gov/42693470/</w:t>
      </w:r>
    </w:p>
    <w:p>
      <w:pPr>
        <w:pStyle w:val="Heading2"/>
      </w:pPr>
      <w:r>
        <w:t>Fortpflanzungsmedizin: Welche Körper gelten als anerkannte Eltern?</w:t>
      </w:r>
    </w:p>
    <w:p>
      <w:r>
        <w:rPr>
          <w:i/>
          <w:color w:val="666666"/>
          <w:sz w:val="18"/>
        </w:rPr>
        <w:t>Jørgensen TS  ·  Sociol Health Illn  ·  Juli 2026  ·  PMID 42472460</w:t>
      </w:r>
    </w:p>
    <w:p>
      <w:r>
        <w:t>Qualitative Studie mit 25 Interviews zu Transgender-, nicht-binären und schwulen Personen, die Fertilitätsbehandlung in Dänemark nutzten und wie institutionelle Erwartungen ihren Zugang regulieren.</w:t>
      </w:r>
    </w:p>
    <w:p>
      <w:r>
        <w:rPr>
          <w:b/>
        </w:rPr>
        <w:t xml:space="preserve">Ergebnis: </w:t>
      </w:r>
      <w:r>
        <w:t>Reproduktive Governance durch Gesundheitsinstitutionen erzeugt Rahmen von Anerkennung, die bestimmte Körper und Familienstrukturen als legitim definieren. Queer People adoptierten Praktiken der Sichtbarkeit oder Anpassung an heteronormative Ideale, um Zugang zu Fertilitätsbehandlung zu erlangen; diese Fähigkeit war ungleich in der Queer-Community verteilt.</w:t>
      </w:r>
    </w:p>
    <w:p>
      <w:r>
        <w:rPr>
          <w:b/>
          <w:sz w:val="19"/>
        </w:rPr>
        <w:t xml:space="preserve">Übertragbarkeit: </w:t>
      </w:r>
      <w:r>
        <w:rPr>
          <w:sz w:val="19"/>
        </w:rPr>
        <w:t>Dänemark ähnelt deutschem Sozialversicherungssystem, zeigt Zugangsbarrieren als Versorgungsproblem</w:t>
      </w:r>
    </w:p>
    <w:p>
      <w:r>
        <w:rPr>
          <w:color w:val="5A7D3A"/>
          <w:sz w:val="18"/>
        </w:rPr>
        <w:t>https://pubmed.ncbi.nlm.nih.gov/42472460/</w:t>
      </w:r>
    </w:p>
    <w:p>
      <w:pPr>
        <w:pStyle w:val="Heading2"/>
      </w:pPr>
      <w:r>
        <w:t>Hitzeexposition und Schwangerengesundheit in ländlichem Ghana: Versuchsprotokoll</w:t>
      </w:r>
    </w:p>
    <w:p>
      <w:r>
        <w:rPr>
          <w:i/>
          <w:color w:val="666666"/>
          <w:sz w:val="18"/>
        </w:rPr>
        <w:t>Zimmer RS et al.  ·  BMC Public Health  ·  06.07.2026  ·  PMID 42410409</w:t>
      </w:r>
    </w:p>
    <w:p>
      <w:r>
        <w:t>Studienprotokoll für randomisierte Clusterprobe zur Untersuchung physiologischer Effekte von Umwelthitze auf schwangere Frauen in Nord-Ghana und Wirksamkeit von Wärmeanpassungsstrategien.</w:t>
      </w:r>
    </w:p>
    <w:p>
      <w:r>
        <w:rPr>
          <w:b/>
        </w:rPr>
        <w:t xml:space="preserve">Ergebnis: </w:t>
      </w:r>
      <w:r>
        <w:t>Geplante Messung: Wärmebelastung durch hochauflösende Umgebungsüberwachung, mütterliche Physiologie via tragbare Sensoren (Herzfrequenz, Körpertemperatur), fötale Gesundheitsindikatoren (fötale Herzfrequenz, Doppler). Interventionsevaluation mit statistischen Analysen zur geschlechtsspezifischen Reaktion geplant; Ergebnisse noch ausstehend.</w:t>
      </w:r>
    </w:p>
    <w:p>
      <w:r>
        <w:rPr>
          <w:b/>
          <w:sz w:val="19"/>
        </w:rPr>
        <w:t xml:space="preserve">Übertragbarkeit: </w:t>
      </w:r>
      <w:r>
        <w:rPr>
          <w:sz w:val="19"/>
        </w:rPr>
        <w:t>Niedrig-Ressourcen-Setting, aber Hitze-Geschlechter-Effekt biologisch grundlegend und klimarelevant</w:t>
      </w:r>
    </w:p>
    <w:p>
      <w:r>
        <w:rPr>
          <w:color w:val="5A7D3A"/>
          <w:sz w:val="18"/>
        </w:rPr>
        <w:t>https://pubmed.ncbi.nlm.nih.gov/42410409/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Geschlecht und Gesundheit</dc:title>
  <dc:subject/>
  <dc:creator>Monitor Versorgungsforschung</dc:creator>
  <cp:keywords/>
  <dc:description>generated by python-docx</dc:description>
  <cp:lastModifiedBy/>
  <cp:revision>1</cp:revision>
  <dcterms:created xsi:type="dcterms:W3CDTF">2026-09-15T06:00:00Z</dcterms:created>
  <dcterms:modified xsi:type="dcterms:W3CDTF">2026-09-15T06:00:00Z</dcterms:modified>
  <cp:category/>
</cp:coreProperties>
</file>