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07.10.2026  |  6 Studien  |  gender.m-vf.de</w:t>
      </w:r>
    </w:p>
    <w:p>
      <w:pPr>
        <w:pStyle w:val="Heading1"/>
      </w:pPr>
      <w:r>
        <w:t>Aufgenommen am 07.10.2026</w:t>
      </w:r>
    </w:p>
    <w:p>
      <w:pPr>
        <w:pStyle w:val="Heading2"/>
      </w:pPr>
      <w:r>
        <w:t>Depressionsrisiko nach Bildungsstand in der Türkei unterschiedlich</w:t>
      </w:r>
    </w:p>
    <w:p>
      <w:r>
        <w:rPr>
          <w:i/>
          <w:color w:val="666666"/>
          <w:sz w:val="18"/>
        </w:rPr>
        <w:t>Ünver Ş et al.  ·  BMC Psychol  ·  24.08.2026  ·  PMID 42834396</w:t>
      </w:r>
    </w:p>
    <w:p>
      <w:r>
        <w:t>Querschnittsanalyse der Türkiye Health Survey 2022 (n=22.742) zu Depressionsfaktoren stratifiziert nach Bildungsniveau.</w:t>
      </w:r>
    </w:p>
    <w:p>
      <w:r>
        <w:rPr>
          <w:b/>
        </w:rPr>
        <w:t xml:space="preserve">Ergebnis: </w:t>
      </w:r>
      <w:r>
        <w:t>Bei geringerer Bildung: Frausein, höheres Alter, Familienstand, Alkohol-/Tabakkonsum, schlechtere Selbsteinschätzung, chronische Erkrankung, Herzinfarktgeschichte signifikant assoziiert mit Depression. Bei höherer Bildung: ähnliche Faktoren, aber Alltagsaktivitätslimitierungen zusätzlich relevant. Geschlechtsdifferenzierung zeigt unterschiedliche Risikoprofile je Bildungsebene.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nationale Routinedaten, Geschlecht als Einflussfaktor im Kontext Soziodemografie</w:t>
      </w:r>
    </w:p>
    <w:p>
      <w:r>
        <w:rPr>
          <w:color w:val="5A7D3A"/>
          <w:sz w:val="18"/>
        </w:rPr>
        <w:t>https://pubmed.ncbi.nlm.nih.gov/42834396/</w:t>
      </w:r>
    </w:p>
    <w:p>
      <w:pPr>
        <w:pStyle w:val="Heading2"/>
      </w:pPr>
      <w:r>
        <w:t>Mütterliche Erkrankungen in der Schwangerschaft und Autismusrisiko: Unterschiede nach Rasse/Ethnizität</w:t>
      </w:r>
    </w:p>
    <w:p>
      <w:r>
        <w:rPr>
          <w:i/>
          <w:color w:val="666666"/>
          <w:sz w:val="18"/>
        </w:rPr>
        <w:t>Ben Messaoud K et al.  ·  JAMA Netw Open  ·  01.10.2026  ·  PMID 42832199</w:t>
      </w:r>
    </w:p>
    <w:p>
      <w:r>
        <w:t>Retrospektive Kohortenstudie (n=224.353 Mutter-Kind-Paare) zu Assoziationen zwischen mütterlichen Erkrankungen und Autismus des Kindes, stratifiziert nach mütterlicher Rasse/Ethnizität.</w:t>
      </w:r>
    </w:p>
    <w:p>
      <w:r>
        <w:rPr>
          <w:b/>
        </w:rPr>
        <w:t xml:space="preserve">Ergebnis: </w:t>
      </w:r>
      <w:r>
        <w:t>Autismus-Prävalenz insgesamt 2,4% (variiert: Black 3,2%, API 2,9%, Hispanic 2,5%, White 2,0%). 21 von 25 mütterlichen Bedingungen zeigen konsistente Assoziationen über alle Gruppen. 4 Bedingungen (Übergewicht/Adipositas, depressive Episode, Asthma, andere Erkrankungen) zeigen heterogene Effektschätzer: stärkere Assoziationen bei weißen Müttern. Unterschiede deuten auf Disparitäten in Zugang, Diagnostik oder unmessbare Faktoren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methodische Aussage zum Screening von Effektheterogenität nach Geschlecht/Rasse übertragbar</w:t>
      </w:r>
    </w:p>
    <w:p>
      <w:r>
        <w:rPr>
          <w:color w:val="5A7D3A"/>
          <w:sz w:val="18"/>
        </w:rPr>
        <w:t>https://pubmed.ncbi.nlm.nih.gov/42832199/</w:t>
      </w:r>
    </w:p>
    <w:p>
      <w:pPr>
        <w:pStyle w:val="Heading2"/>
      </w:pPr>
      <w:r>
        <w:t>Geschlechtsangleichende Chirurgie: VC-Technik senkt Komplikationsrate</w:t>
      </w:r>
    </w:p>
    <w:p>
      <w:r>
        <w:rPr>
          <w:i/>
          <w:color w:val="666666"/>
          <w:sz w:val="18"/>
        </w:rPr>
        <w:t>Rocha RI et al.  ·  Rev Col Bras Cir  ·  14.09.2026  ·  PMID 42820510</w:t>
      </w:r>
    </w:p>
    <w:p>
      <w:r>
        <w:t>Retrospektive Kohorte mit 59 trans Frauen, die zwei penile-inversion-Techniken zur geschlechtsangleichenden Vaginoplastie erhielten (VG n=25, VC n=34, 2015–2019).</w:t>
      </w:r>
    </w:p>
    <w:p>
      <w:r>
        <w:rPr>
          <w:b/>
        </w:rPr>
        <w:t xml:space="preserve">Ergebnis: </w:t>
      </w:r>
      <w:r>
        <w:t>Keine Unterschiede in Alter, BMI, Liegedauer, Infektionen, Fisteln, Rektumperforation, thromboembolischen Ereignissen (alle p&gt;0,05). VC-Technik signifikant besser bei Urinalkanal-Konformation (p=0,020), Vaginalkanal-Konformation (p=0,002), neovaginales Epithelium (p=0,011), Reoperationsbedarf (p=0,006). Schwache Korrelationen zwischen einzelnen Komplikationen (ρ=0,46–0,49).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chirurgische Outcomes bei geschlechtsangleichender Behandlung, erste Vergleichsstudie</w:t>
      </w:r>
    </w:p>
    <w:p>
      <w:r>
        <w:rPr>
          <w:color w:val="5A7D3A"/>
          <w:sz w:val="18"/>
        </w:rPr>
        <w:t>https://pubmed.ncbi.nlm.nih.gov/42820510/</w:t>
      </w:r>
    </w:p>
    <w:p>
      <w:pPr>
        <w:pStyle w:val="Heading2"/>
      </w:pPr>
      <w:r>
        <w:t>Soziale Determinanten und biologisches Embedding: Mechanismen der Ungleichheit</w:t>
      </w:r>
    </w:p>
    <w:p>
      <w:r>
        <w:rPr>
          <w:i/>
          <w:color w:val="666666"/>
          <w:sz w:val="18"/>
        </w:rPr>
        <w:t>Sturmberg JP et al.  ·  Front Public Health  ·  08.09.2026  ·  PMID 42774359</w:t>
      </w:r>
    </w:p>
    <w:p>
      <w:r>
        <w:t>Narratives Konzeptpapier zur Dynamik sozialer Gesundheitsdeterminanten als komplexe adaptive Systeme – wie Exposition zu Vulnerabilität führt.</w:t>
      </w:r>
    </w:p>
    <w:p>
      <w:r>
        <w:rPr>
          <w:b/>
        </w:rPr>
        <w:t xml:space="preserve">Ergebnis: </w:t>
      </w:r>
      <w:r>
        <w:t>Soziale Determinanten (Einkommen, Bildung, Wohnen, Netzwerke) wirken nicht isoliert, sondern als nichtlineare Feedback-Schleifen über Lebenslauf und Generationen. Biologisches Embedding über Stressregulation, Entzündung, Epigenetik stabilisiert Nachteil. Intervention auf einzelne Faktoren zeigt bescheidene Effekte; wirksam sind koordinierte, place-based, mehrebenig gestaffelte Strategien. Relational continuity in primary care und Stärkung sozialer Infrastruktur benannt.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Konzeptuell für DACH Anwendbar, mehrschichtige Systemperspektive auf Versorgung</w:t>
      </w:r>
    </w:p>
    <w:p>
      <w:r>
        <w:rPr>
          <w:color w:val="5A7D3A"/>
          <w:sz w:val="18"/>
        </w:rPr>
        <w:t>https://pubmed.ncbi.nlm.nih.gov/42774359/</w:t>
      </w:r>
    </w:p>
    <w:p>
      <w:pPr>
        <w:pStyle w:val="Heading2"/>
      </w:pPr>
      <w:r>
        <w:t>Männergesundheit in der Gemeinde: Barrieren und Gelingensfaktoren</w:t>
      </w:r>
    </w:p>
    <w:p>
      <w:r>
        <w:rPr>
          <w:i/>
          <w:color w:val="666666"/>
          <w:sz w:val="18"/>
        </w:rPr>
        <w:t>Griebler U et al.  ·  BMC Public Health  ·  11.07.2026  ·  PMID 42432609</w:t>
      </w:r>
    </w:p>
    <w:p>
      <w:r>
        <w:t>Qualitative Studie mit 28 Männern (15–65 Jahre) in Österreich zu Voraussetzungen für ihre Teilnahme an Gesundheitsförderung.</w:t>
      </w:r>
    </w:p>
    <w:p>
      <w:r>
        <w:rPr>
          <w:b/>
        </w:rPr>
        <w:t xml:space="preserve">Ergebnis: </w:t>
      </w:r>
      <w:r>
        <w:t>Traditionelle Geschlechternormen sind Hauptbarriere – besonders bei psychischer Gesundheit wird Teilnahme als Schwäche interpretiert. Gelingensfaktoren: klarer Nutzen, glaubwürdige Modelle, Trainieren mit anderen Männern. Drei Gruppen identifiziert: selbstorganisiert, skeptisch, undecided-but-interested (höchstes Mobilisierungspotenzial).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qualitative Tiefenanalyse, direkter Bezug zu DACH-Versorgung</w:t>
      </w:r>
    </w:p>
    <w:p>
      <w:r>
        <w:rPr>
          <w:color w:val="5A7D3A"/>
          <w:sz w:val="18"/>
        </w:rPr>
        <w:t>https://pubmed.ncbi.nlm.nih.gov/42432609/</w:t>
      </w:r>
    </w:p>
    <w:p>
      <w:pPr>
        <w:pStyle w:val="Heading2"/>
      </w:pPr>
      <w:r>
        <w:t>Drogenkonsum bei trans und nicht-binären Menschen in Spanien höher</w:t>
      </w:r>
    </w:p>
    <w:p>
      <w:r>
        <w:rPr>
          <w:i/>
          <w:color w:val="666666"/>
          <w:sz w:val="18"/>
        </w:rPr>
        <w:t>Quinteiro F et al.  ·  Subst Abuse Treat Prev Policy  ·  08.07.2026  ·  PMID 42421044</w:t>
      </w:r>
    </w:p>
    <w:p>
      <w:r>
        <w:t>Querschnittstudie mit 19.948 Personen (davon 1.582 trans/nicht-binär) zu Substanzkonsum nach Geschlechtszugehörigkeit.</w:t>
      </w:r>
    </w:p>
    <w:p>
      <w:r>
        <w:rPr>
          <w:b/>
        </w:rPr>
        <w:t xml:space="preserve">Ergebnis: </w:t>
      </w:r>
      <w:r>
        <w:t>Cannabis war Substanz Nr. 1 in allen Gruppen. Trans Frauen und nicht-binäre Personen zeigen höhere adjustierte Prävalenzraten (aPR) für alle Substanzen als cis Frauen/Männer; Poppers bei trans Frauen aPR am höchsten. Trans Frauen generell stärker betroffen als trans Männer. Strukturelle Vulnerabilität und kulturelle Spezifika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Routinedaten mit gezielter Übersampling, geschlechtsgetrennte Analyse</w:t>
      </w:r>
    </w:p>
    <w:p>
      <w:r>
        <w:rPr>
          <w:color w:val="5A7D3A"/>
          <w:sz w:val="18"/>
        </w:rPr>
        <w:t>https://pubmed.ncbi.nlm.nih.gov/42421044/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2026-10-07T06:00:00Z</dcterms:created>
  <dcterms:modified xsi:type="dcterms:W3CDTF">2026-10-07T06:00:00Z</dcterms:modified>
  <cp:category/>
</cp:coreProperties>
</file>