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07.09.2026  |  6 Studien  |  gender.m-vf.de</w:t>
      </w:r>
    </w:p>
    <w:p>
      <w:pPr>
        <w:pStyle w:val="Heading1"/>
      </w:pPr>
      <w:r>
        <w:t>Aufgenommen am 07.09.2026</w:t>
      </w:r>
    </w:p>
    <w:p>
      <w:pPr>
        <w:pStyle w:val="Heading2"/>
      </w:pPr>
      <w:r>
        <w:t>Gemeindliche Gesundheitserziehung senkt Unterernährung von Kindern um 78 Prozent</w:t>
      </w:r>
    </w:p>
    <w:p>
      <w:r>
        <w:rPr>
          <w:i/>
          <w:color w:val="666666"/>
          <w:sz w:val="18"/>
        </w:rPr>
        <w:t>Zakar R et al.  ·  BMC Public Health  ·  29.08.2026  ·  PMID 42668377</w:t>
      </w:r>
    </w:p>
    <w:p>
      <w:r>
        <w:t>Pakistanische Evaluationsstudie mit 253 Frauen und 371 Kindern vor sowie 222 Müttern und 318 Kindern nach Intervention eines Bildungsmoduls über vier Phasen in urbaner Siedlung.</w:t>
      </w:r>
    </w:p>
    <w:p>
      <w:r>
        <w:rPr>
          <w:b/>
        </w:rPr>
        <w:t xml:space="preserve">Ergebnis: </w:t>
      </w:r>
      <w:r>
        <w:t>Unterernährungsprävalenz sank von 28% auf 6% (p&lt;0,001 für Längenwachstum, Gewicht und Kopfumfang). Mütter-BMI stieg signifikant (p=0,002), Anämie blieb unverändert. Gemeinsame Entscheidungen zur Verhütung nahmen zu (p&lt;0,001), Zugangsbarrieren sanken. Intervention zeigt: Geschlechtergerechte Elternschulung ändert Versorgungsergebnisse bei Mangelernährung.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Pakistan, aber Methodik (partizipative Elternschulung) auf ressourcenärmere deutsche Settings übertragbar.</w:t>
      </w:r>
    </w:p>
    <w:p>
      <w:r>
        <w:rPr>
          <w:color w:val="5A7D3A"/>
          <w:sz w:val="18"/>
        </w:rPr>
        <w:t>https://pubmed.ncbi.nlm.nih.gov/42668377/</w:t>
      </w:r>
    </w:p>
    <w:p>
      <w:pPr>
        <w:pStyle w:val="Heading2"/>
      </w:pPr>
      <w:r>
        <w:t>Emotionsregulation und Empathie senken Kindesmisshandlungs-Risiko unterschiedlich bei Vätern und Müttern</w:t>
      </w:r>
    </w:p>
    <w:p>
      <w:r>
        <w:rPr>
          <w:i/>
          <w:color w:val="666666"/>
          <w:sz w:val="18"/>
        </w:rPr>
        <w:t>Miragoli S et al.  ·  J Interpers Violence  ·  16.07.2026  ·  PMID 42464521</w:t>
      </w:r>
    </w:p>
    <w:p>
      <w:r>
        <w:t>Italienische Gemeindestudie mit 110 Vätern und 149 Müttern (Kinder 6–14 Jahre) zu Zusammenhängen von Emotionsregulation, Empathie und Kindesmisshandlungsrisiko (Child Abuse Potential, CAP) mit Geschlechterdifferenzen.</w:t>
      </w:r>
    </w:p>
    <w:p>
      <w:r>
        <w:rPr>
          <w:b/>
        </w:rPr>
        <w:t xml:space="preserve">Ergebnis: </w:t>
      </w:r>
      <w:r>
        <w:t>Bei Vätern moderierte Mangel an Perspektivenübernahme den Effekt von Impulskontrollschwäche auf CAP. Bei Müttern moderierte empathische Sorge den Effekt von Emotionserkennungsschwäche und mangelndem emotionalen Bewusstsein auf CAP (alle p&lt;0,05). Pflegeverhalten wird durch unterschiedliche psychische Faktoren bei Männern und Frauen gefährdet. Intervention: müsste bei Vätern Perspektivenübernahme, bei Müttern emotionale Kompetenz stärken.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Italien; Mechanismus zu elterlichem Risiko übertragbar, da psychosozial bedingt.</w:t>
      </w:r>
    </w:p>
    <w:p>
      <w:r>
        <w:rPr>
          <w:color w:val="5A7D3A"/>
          <w:sz w:val="18"/>
        </w:rPr>
        <w:t>https://pubmed.ncbi.nlm.nih.gov/42464521/</w:t>
      </w:r>
    </w:p>
    <w:p>
      <w:pPr>
        <w:pStyle w:val="Heading2"/>
      </w:pPr>
      <w:r>
        <w:t>Sexuelle Minderheiten erwarten LGBTQIA+-freundliche Pflegeheime deutlich häufiger</w:t>
      </w:r>
    </w:p>
    <w:p>
      <w:r>
        <w:rPr>
          <w:i/>
          <w:color w:val="666666"/>
          <w:sz w:val="18"/>
        </w:rPr>
        <w:t>Hajek A et al.  ·  J Am Med Dir Assoc  ·  06.07.2026  ·  PMID 42407223</w:t>
      </w:r>
    </w:p>
    <w:p>
      <w:r>
        <w:t>Deutsche repräsentative Bevölkerungsbefragung mit 2.518 Bürgern (Altersspanne 18–74 Jahre, 8,7% sexuelle Minderheiten) zu Erwartungen an künftige stationäre Pflege.</w:t>
      </w:r>
    </w:p>
    <w:p>
      <w:r>
        <w:rPr>
          <w:b/>
        </w:rPr>
        <w:t xml:space="preserve">Ergebnis: </w:t>
      </w:r>
      <w:r>
        <w:t>Sexuelle Minderheiten bewerteten Toleranz gegenüber LGBTQIA+ (β=1,44; p&lt;0,001), LGBTQIA+-freundliche Dienste (β=1,15; p&lt;0,001) und Offenheit für deren Anliegen (β=1,29; p&lt;0,001) als deutlich wichtiger als Heterosexuelle. Unterschiede besonders ausgeprägt zwischen Heterosexuellen und Homosexuellen. Zugang zur Versorgung: sexuelle Minderheiten fürchten Diskriminierung und verlangen explizit inklusive Rahmenbedingungen.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eigene Daten; direkte Relevanz für Altenpflege-Planung.</w:t>
      </w:r>
    </w:p>
    <w:p>
      <w:r>
        <w:rPr>
          <w:color w:val="5A7D3A"/>
          <w:sz w:val="18"/>
        </w:rPr>
        <w:t>https://pubmed.ncbi.nlm.nih.gov/42407223/</w:t>
      </w:r>
    </w:p>
    <w:p>
      <w:pPr>
        <w:pStyle w:val="Heading2"/>
      </w:pPr>
      <w:r>
        <w:t>Unattended Blutdruckmessung zeigt höhere Genauigkeit für Frauen mit unkontrollierter Hypertonie</w:t>
      </w:r>
    </w:p>
    <w:p>
      <w:r>
        <w:rPr>
          <w:i/>
          <w:color w:val="666666"/>
          <w:sz w:val="18"/>
        </w:rPr>
        <w:t>Fucile I et al.  ·  High Blood Press Cardiovasc Prev  ·  13.04.2026  ·  PMID 42228045</w:t>
      </w:r>
    </w:p>
    <w:p>
      <w:r>
        <w:t>Italienische Hypertonie-Studie mit 307 Patienten (48% Frauen) vergleicht unüberwachte, überwachte und ambulante Blutdruckmessungen gegen 24-Stunden-Monitoring zur Diagnosegenauigkeit.</w:t>
      </w:r>
    </w:p>
    <w:p>
      <w:r>
        <w:rPr>
          <w:b/>
        </w:rPr>
        <w:t xml:space="preserve">Ergebnis: </w:t>
      </w:r>
      <w:r>
        <w:t>Die unbeaufsichtigte Messung identifizierte unkontrollierte Hypertonie genauer als die begleitete (AUC 0,71 vs. 0,65; p&lt;0,05). Bei Frauen war der Unterschied deutlicher (AUC 0,712 vs. 0,620; p&lt;0,05), weil die Weisskittelhypertonie-Verfälschung bei ihnen stärker ausfiel. Ursache: unterschiedliche emotionale Reaktion auf klinische Messung.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Gesundheitssystem; Befund zu Messmethode übertragbar auf Deutschland.</w:t>
      </w:r>
    </w:p>
    <w:p>
      <w:r>
        <w:rPr>
          <w:color w:val="5A7D3A"/>
          <w:sz w:val="18"/>
        </w:rPr>
        <w:t>https://pubmed.ncbi.nlm.nih.gov/42228045/</w:t>
      </w:r>
    </w:p>
    <w:p>
      <w:pPr>
        <w:pStyle w:val="Heading2"/>
      </w:pPr>
      <w:r>
        <w:t>Eisenspeicher beeinflussen Stoffwechselrisiko bei Männern und Frauen unterschiedlich</w:t>
      </w:r>
    </w:p>
    <w:p>
      <w:r>
        <w:rPr>
          <w:i/>
          <w:color w:val="666666"/>
          <w:sz w:val="18"/>
        </w:rPr>
        <w:t>Li W et al.  ·  Front Endocrinol (Lausanne)  ·  15.05.2026  ·  PMID 42222086</w:t>
      </w:r>
    </w:p>
    <w:p>
      <w:r>
        <w:t>Schwedische Querschnittstudie (SCAPIS) mit 1.272 Personen (640 Männer, 632 Frauen, mittleres Alter) zu Geschlechtsunterschieden in Eisenbiomarkern und Herz-Kreislauf-Risikofaktoren.</w:t>
      </w:r>
    </w:p>
    <w:p>
      <w:r>
        <w:rPr>
          <w:b/>
        </w:rPr>
        <w:t xml:space="preserve">Ergebnis: </w:t>
      </w:r>
      <w:r>
        <w:t>Männer hatten höhere Eisenspeicher als prä- und postmenopausale Frauen. Hyperferritinämie trat bei 21,6% der Männer vs. 12,0% der Frauen auf (p&lt;0,01); Metabolisches Syndrom bei 34,5% vs. 24,6% (p&lt;0,01). BMI, Alkoholkonsum, LDL und Triglyzeride korrelierte mit Ferritin bei beiden Geschlechtern. Nur bei Frauen: Alter und Bluthochdruck assoziiert mit Ferritinwert. Ursache: Geschlechtsunterschiede in Eisenmetabolismus biologisch bedingt, werden aber klinisch unterschiedlich relevant.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skandinavisches Registersystem; Befund zu Biomarkern übertragbar auf deutsche Prävention.</w:t>
      </w:r>
    </w:p>
    <w:p>
      <w:r>
        <w:rPr>
          <w:color w:val="5A7D3A"/>
          <w:sz w:val="18"/>
        </w:rPr>
        <w:t>https://pubmed.ncbi.nlm.nih.gov/42222086/</w:t>
      </w:r>
    </w:p>
    <w:p>
      <w:pPr>
        <w:pStyle w:val="Heading2"/>
      </w:pPr>
      <w:r>
        <w:t>Geschlechtsunterschiede und Klassenungleichheit prägen selbstbewertete Gesundheit unterschiedlich</w:t>
      </w:r>
    </w:p>
    <w:p>
      <w:r>
        <w:rPr>
          <w:i/>
          <w:color w:val="666666"/>
          <w:sz w:val="18"/>
        </w:rPr>
        <w:t>Gumà-Lao J et al.  ·  Int J Equity Health  ·  29.05.2026  ·  PMID 42216170</w:t>
      </w:r>
    </w:p>
    <w:p>
      <w:r>
        <w:t>Spanische Querschnittstudie mit 10.210 Erwachsenen (30–60 Jahre) aus der Nationalen Gesundheitserhebung 2023; Entscheidungsbäume analysieren Schnittmengen von Geschlecht und sozialer Klasse bei selbstbewerteter Gesundheit.</w:t>
      </w:r>
    </w:p>
    <w:p>
      <w:r>
        <w:rPr>
          <w:b/>
        </w:rPr>
        <w:t xml:space="preserve">Ergebnis: </w:t>
      </w:r>
      <w:r>
        <w:t>Entscheidungsbäume unterschieden sich signifikant nach intersektionaler Gruppe: weniger qualifizierte Gruppen zeigten komplexere Bäume, d.h. schnellere Ansammlung chronischer Krankheiten in jüngeren Jahren. Schicht und Geschlecht beeinflussen nicht linear, sondern in einzigartigen Kombinationen die Wahrnehmung von Gesundheit. Mechanismus: soziale Determinanten plus Geschlechtsrollen zusammen.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südeuropäisches Gesundheitssystem; Intersektionalitäts-Methodik für Deutschland bedeutsam.</w:t>
      </w:r>
    </w:p>
    <w:p>
      <w:r>
        <w:rPr>
          <w:color w:val="5A7D3A"/>
          <w:sz w:val="18"/>
        </w:rPr>
        <w:t>https://pubmed.ncbi.nlm.nih.gov/42216170/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2026-09-07T06:00:00Z</dcterms:created>
  <dcterms:modified xsi:type="dcterms:W3CDTF">2026-09-07T06:00:00Z</dcterms:modified>
  <cp:category/>
</cp:coreProperties>
</file>