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27.08.2026  |  6 Studien  |  gender.m-vf.de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Koronare Herzkrankheit bei Frauen: Nicht-obstruktive Phänotypen erfordern andere Diagnos tik und Therapie</w:t>
      </w:r>
    </w:p>
    <w:p>
      <w:r>
        <w:rPr>
          <w:i/>
          <w:color w:val="666666"/>
          <w:sz w:val="18"/>
        </w:rPr>
        <w:t>Nastouli KM et al.  ·  Medicina (Kaunas)  ·  07.07.2026  ·  PMID 42512855</w:t>
      </w:r>
    </w:p>
    <w:p>
      <w:r>
        <w:t>Europäische Review (Autoren aus Griechenland, UK, Deutschland, Schweiz) fasst geschlechtsspezifische Pathophysiologie, Risikofaktoren, Präsentation und Management zusammen.</w:t>
      </w:r>
    </w:p>
    <w:p>
      <w:r>
        <w:rPr>
          <w:b/>
        </w:rPr>
        <w:t xml:space="preserve">Ergebnis: </w:t>
      </w:r>
      <w:r>
        <w:t>Frauen präsentieren häufiger mit nicht-obstruktiven Mustern: Angina mit nicht-obstruktiven Koronararterien (INOCA), koronare mikrovaskuläre Dysfunktion, Myokardinfarkt ohne obstruktive Koronararterien (MINOCA), spontane Koronararteriendissektion (SCAD), Takotsubo-Syndrom. Diese erfordern kardiale MRT, intrakoronare Bildgebung und Funktionsprüfung statt nur Stenose-Detektion. Frauen haben niedrigere Troponinwerte, atypische Symptome und werden deswegen verzögert diagnostiziert. Weiblich-spezifische Risikofaktoren: vorzeitige Menopause, adverse Schwangerschaftsergebnisse, Polyzystisches Ovarialsyndrom, Autoimmunerkrankungen, psychosoziale Stressoren.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Experten, klinische Leitlinie, DACH nicht im Autorenkollektiv aber anwendbar</w:t>
      </w:r>
    </w:p>
    <w:p>
      <w:r>
        <w:rPr>
          <w:color w:val="5A7D3A"/>
          <w:sz w:val="18"/>
        </w:rPr>
        <w:t>https://pubmed.ncbi.nlm.nih.gov/42512855/</w:t>
      </w:r>
    </w:p>
    <w:p>
      <w:pPr>
        <w:pStyle w:val="Heading2"/>
      </w:pPr>
      <w:r>
        <w:t>Diskriminierungserfahrungen von Pflegestudierenden: Frauen berichten signifikant mehr</w:t>
      </w:r>
    </w:p>
    <w:p>
      <w:r>
        <w:rPr>
          <w:i/>
          <w:color w:val="666666"/>
          <w:sz w:val="18"/>
        </w:rPr>
        <w:t>Ungar N et al.  ·  Psychiatr Prax  ·  20.07.2026  ·  PMID 42476182</w:t>
      </w:r>
    </w:p>
    <w:p>
      <w:r>
        <w:t>Deutsche Onlinebefragung von 117 Pflegestudierenden prüfte, inwieweit Studierende in praktischen Einsätzen Diskriminierung erleben und welche Rolle das Geschlecht spielt.</w:t>
      </w:r>
    </w:p>
    <w:p>
      <w:r>
        <w:rPr>
          <w:b/>
        </w:rPr>
        <w:t xml:space="preserve">Ergebnis: </w:t>
      </w:r>
      <w:r>
        <w:t>Über 50% erlebten gelegentlich oder regelmäßig Diskriminierung. Weibliche Studierende berichteten signifikant höhere Diskriminierungswerte als männliche (M=4,27 vs. 2,99, p=0,001). Kein signifikanter Zusammenhang mit Geschlechtsrollenselbstkonzept. Diese Ergebnisse quantifizieren Diskriminierung in der Pflegeausbildung und belegen das Geschlecht als Risikofaktor.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direkte deutsche Stichprobe, Versorgungsausbildung</w:t>
      </w:r>
    </w:p>
    <w:p>
      <w:r>
        <w:rPr>
          <w:color w:val="5A7D3A"/>
          <w:sz w:val="18"/>
        </w:rPr>
        <w:t>https://pubmed.ncbi.nlm.nih.gov/42476182/</w:t>
      </w:r>
    </w:p>
    <w:p>
      <w:pPr>
        <w:pStyle w:val="Heading2"/>
      </w:pPr>
      <w:r>
        <w:t>Körperzusammensetzung und Diabetesrisiko: Geschlechtsspezifische Fett-Muskel-Muster in der UK Biobank</w:t>
      </w:r>
    </w:p>
    <w:p>
      <w:r>
        <w:rPr>
          <w:i/>
          <w:color w:val="666666"/>
          <w:sz w:val="18"/>
        </w:rPr>
        <w:t>Ma Y et al.  ·  Diabetes  ·  01.09.2026  ·  PMID 42467557</w:t>
      </w:r>
    </w:p>
    <w:p>
      <w:r>
        <w:t>UK Biobank Daten von 258.500 Personen prüften, ob Muster von Fettverteilung und Muskelaufbau den Typ-2-Diabetes-Risikovorhersage besser erklären als alleinige Adipositas-Maße und ob dies geschlechtsspezifisch ist.</w:t>
      </w:r>
    </w:p>
    <w:p>
      <w:r>
        <w:rPr>
          <w:b/>
        </w:rPr>
        <w:t xml:space="preserve">Ergebnis: </w:t>
      </w:r>
      <w:r>
        <w:t>Über 11 Jahre: 33.636 Diabetes-Fälle. Generalisierte Adiposität erhöhte das Risiko bei Männern um Faktor 1,73 (95% CI 1,33–2,24) und Frauen um 2,21 (1,55–3,16). Bein-dominante Muskelmasse senkte das Risiko (Männer HR 0,57, Frauen HR 0,50). Zentrale Magerheit senkte Risiko nur bei Frauen (HR 0,41). Geschlechtsspezifische Beitragsmuster: zentrale Magerheit stärker bei Männern, Bein-Muskulatur stärker bei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große Querschnittsstudie, anthropometrische Standardmessungen</w:t>
      </w:r>
    </w:p>
    <w:p>
      <w:r>
        <w:rPr>
          <w:color w:val="5A7D3A"/>
          <w:sz w:val="18"/>
        </w:rPr>
        <w:t>https://pubmed.ncbi.nlm.nih.gov/42467557/</w:t>
      </w:r>
    </w:p>
    <w:p>
      <w:pPr>
        <w:pStyle w:val="Heading2"/>
      </w:pPr>
      <w:r>
        <w:t>Herzinsuffizienz bei Frauen: Vergleichbare Langzeitprognose, unterschiedliche Präsentation</w:t>
      </w:r>
    </w:p>
    <w:p>
      <w:r>
        <w:rPr>
          <w:i/>
          <w:color w:val="666666"/>
          <w:sz w:val="18"/>
        </w:rPr>
        <w:t>Romero-Carrete C et al.  ·  Med Clin (Barc)  ·  07.07.2026  ·  PMID 42413339</w:t>
      </w:r>
    </w:p>
    <w:p>
      <w:r>
        <w:t>Spanische Routinedaten von 1.986 Herzinsuffizienz-Patienten untersuchten geschlechtsspezifische Unterschiede in Klinik und Sterblichkeit über 10 Jahre.</w:t>
      </w:r>
    </w:p>
    <w:p>
      <w:r>
        <w:rPr>
          <w:b/>
        </w:rPr>
        <w:t xml:space="preserve">Ergebnis: </w:t>
      </w:r>
      <w:r>
        <w:t>Frauen präsentierten sich mit fortgeschrittenerer NYHA-Klasse, Männer hatten niedrigere Ejektionsfraktion. Nach Anpassung: Keine signifikanten Unterschiede in der Gesamtsterblichkeit (HR Männer 1,109, p &gt; 0,05). Mortalitätsrisikofaktoren waren unabhängig vom Geschlecht: Alter≥80, NYHA III-IV, chronische Nierenerkrankung, Diabetes, koronare Erkrankung. Diese Ähnlichkeit in den Outcomes widerlegt frühereThesen ausgeprägter Geschlechtsunterschiede.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Klinikdaten, ähnliche Versicherungssysteme wie Deutschland</w:t>
      </w:r>
    </w:p>
    <w:p>
      <w:r>
        <w:rPr>
          <w:color w:val="5A7D3A"/>
          <w:sz w:val="18"/>
        </w:rPr>
        <w:t>https://pubmed.ncbi.nlm.nih.gov/42413339/</w:t>
      </w:r>
    </w:p>
    <w:p>
      <w:pPr>
        <w:pStyle w:val="Heading2"/>
      </w:pPr>
      <w:r>
        <w:t>Vorhofflimmern und körperliche Funktion älterer Menschen: Geschlechtsspezifische Muster cerebraler Mikroinfarkte</w:t>
      </w:r>
    </w:p>
    <w:p>
      <w:r>
        <w:rPr>
          <w:i/>
          <w:color w:val="666666"/>
          <w:sz w:val="18"/>
        </w:rPr>
        <w:t>Spruit JR et al.  ·  J Am Med Dir Assoc  ·  06.07.2026  ·  PMID 42407388</w:t>
      </w:r>
    </w:p>
    <w:p>
      <w:r>
        <w:t>Niederländische Gedächtnissprechstunden-Kohorte (Amsterdam, n=1.044, Alter 79,2 Jahre) prüfte, ob zerebrale Kleingefäßerkrankung den Zusammenhang zwischen Vorhofflimmern und körperlichem Abbau erklärt und ob dies geschlechtsspezifisch ist.</w:t>
      </w:r>
    </w:p>
    <w:p>
      <w:r>
        <w:rPr>
          <w:b/>
        </w:rPr>
        <w:t xml:space="preserve">Ergebnis: </w:t>
      </w:r>
      <w:r>
        <w:t>AF-Prävalenz 15,4%. Männer mit AF: erhöhte Wahrscheinlichkeit für White-Matter-Hyperintensitäten (aOR 1,95, p&lt;0,001). Frauen mit AF: erhöhte Wahrscheinlichkeit für ≥3 zerebrale Mikroblutungen (aOR 1,94, p&lt;0,05). AF assoziiert mit Gangverlangsamung und Short Physical Performance Battery &lt;10 (aOR 2,42, p&lt;0,001), aber nicht mit Kognition. White-Matter-Hyperintensitäten mediierten die AF-Funktion-Assoziation, besonders bei Männern (B=0,57, p=0,012).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 Gesundheitssystemstruktur</w:t>
      </w:r>
    </w:p>
    <w:p>
      <w:r>
        <w:rPr>
          <w:color w:val="5A7D3A"/>
          <w:sz w:val="18"/>
        </w:rPr>
        <w:t>https://pubmed.ncbi.nlm.nih.gov/42407388/</w:t>
      </w:r>
    </w:p>
    <w:p>
      <w:pPr>
        <w:pStyle w:val="Heading2"/>
      </w:pPr>
      <w:r>
        <w:t>Anthropometrische Indizes für Schlafapnoe-Screening: Geschlechter- unterschiede verbessern Diagnostik</w:t>
      </w:r>
    </w:p>
    <w:p>
      <w:r>
        <w:rPr>
          <w:i/>
          <w:color w:val="666666"/>
          <w:sz w:val="18"/>
        </w:rPr>
        <w:t>Kalkanis A et al.  ·  Sleep Med  ·  04.07.2026  ·  PMID 42407328</w:t>
      </w:r>
    </w:p>
    <w:p>
      <w:r>
        <w:t>Europäische Schlaflabor-Routine daten (ESADA) von 10.916 Patienten prüften, welche Körpermaße mittelschwere-schwere Schlafapnoe besser identifizieren als BMI allein.</w:t>
      </w:r>
    </w:p>
    <w:p>
      <w:r>
        <w:rPr>
          <w:b/>
        </w:rPr>
        <w:t xml:space="preserve">Ergebnis: </w:t>
      </w:r>
      <w:r>
        <w:t>Bei Männern: Körperfettanteil nach Deurenberg &gt;25,94% zeigte 90,5% Sensitivität und 79,4% Genauigkeit. Bei Frauen: Körperfettanteil nach Lean &gt;43,15% zeigte 88% Sensitivität und 72,5% Genauigkeit. Beide übertroffen BMI (Männer AUC 0,715; Frauen AUC 0,681). Geschlechtsspezifische Schwellwerte ermöglichen präzisere Selektion für Heim- schlaftests.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Routine-Polysomnographie, DACH-Länder im Netzwerk</w:t>
      </w:r>
    </w:p>
    <w:p>
      <w:r>
        <w:rPr>
          <w:color w:val="5A7D3A"/>
          <w:sz w:val="18"/>
        </w:rPr>
        <w:t>https://pubmed.ncbi.nlm.nih.gov/42407328/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2026-08-27T06:00:00Z</dcterms:created>
  <dcterms:modified xsi:type="dcterms:W3CDTF">2026-08-27T06:00:00Z</dcterms:modified>
  <cp:category/>
</cp:coreProperties>
</file>