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18.09.2026  |  6 Studien  |  gender.m-vf.de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Herzinsuffizienz mit erhaltener Ejektionsfraktion: Frauen zeigen andere Phänotypen und Risikofaktoren</w:t>
      </w:r>
    </w:p>
    <w:p>
      <w:r>
        <w:rPr>
          <w:i/>
          <w:color w:val="666666"/>
          <w:sz w:val="18"/>
        </w:rPr>
        <w:t>Kim SJ et al.  ·  Korean J Intern Med  ·  01.09.2026  ·  PMID 42754518</w:t>
      </w:r>
    </w:p>
    <w:p>
      <w:r>
        <w:t>Geschlechtsspezifische klinische Übersichtsarbeit zu Pathophysiologie, Präsentation und Therapieresponse der HFpEF mit biologischen Unterschieden zwischen Frauen und Männern.</w:t>
      </w:r>
    </w:p>
    <w:p>
      <w:r>
        <w:rPr>
          <w:b/>
        </w:rPr>
        <w:t xml:space="preserve">Ergebnis: </w:t>
      </w:r>
      <w:r>
        <w:t>Bei Frauen ist HFpEF häufig mit kardiometabolischem Stress, vaskulärer Dysfunktion und erhöhtem ventrikulär-arteriellem Coupling verbunden (konzentrische Remodellierung, ausgeprägtes Symptombild). Bei Männern überwiegt ein Ischämie-assoziierter Phänotyp mit adversen Umbauprozessen und diffuser myokardialer Fibrose. Diese biologischen Unterschiede beeinflussen Klinik, Biomarker-Interpretation, bildgebende Befunde und Langzeitergebnisse; neurohormonal modulierende Interventionen können differentielle Wirksamkeit zeigen.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pathophysiologische Unterschiede biologisch begründet; auf AWMF-Leitlinien HFpEF anwendbar</w:t>
      </w:r>
    </w:p>
    <w:p>
      <w:r>
        <w:rPr>
          <w:color w:val="5A7D3A"/>
          <w:sz w:val="18"/>
        </w:rPr>
        <w:t>https://pubmed.ncbi.nlm.nih.gov/42754518/</w:t>
      </w:r>
    </w:p>
    <w:p>
      <w:pPr>
        <w:pStyle w:val="Heading2"/>
      </w:pPr>
      <w:r>
        <w:t>Geschlecht und Gender in Leitlinien: Evidence Gaps und Politisierung behindern Integration</w:t>
      </w:r>
    </w:p>
    <w:p>
      <w:r>
        <w:rPr>
          <w:i/>
          <w:color w:val="666666"/>
          <w:sz w:val="18"/>
        </w:rPr>
        <w:t>Maheen H et al.  ·  BMJ Open  ·  17.09.2026  ·  PMID 42754283</w:t>
      </w:r>
    </w:p>
    <w:p>
      <w:r>
        <w:t>Qualitative Studie mit 28 Experten zu aktuellen Herausforderungen, Barrieren und praktischen Strategien für die Einbeziehung von Geschlecht in klinische Leitlinien.</w:t>
      </w:r>
    </w:p>
    <w:p>
      <w:r>
        <w:rPr>
          <w:b/>
        </w:rPr>
        <w:t xml:space="preserve">Ergebnis: </w:t>
      </w:r>
      <w:r>
        <w:t>Zwei zentrale Herausforderungen wurden identifiziert: (1) persistente Evidence Gaps mit mangelnden geschlechtergetrennten klinischen Daten, nur 5 % der Fachleute beantworteten alle LGBTQIA+-Fragen korrekt, 40 % berichteten Schwierigkeiten bei sexueller Gesundheit, 80 % wünschten LGBTQIA+-Schulung; (2) Politisierung von Terminology behindert Klarheit und Konsistenz. Empfohlen: stärkere geschlechts- und gendergetrennte Evidenz, klare Berichtstandards, inklusive Sprache und höherer Frauenanteil in Leitliniengremien sowie intersektionaler Ansatz. Das adressiert die methodische Grundproblematik dieser Versorgungsgruppe.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international übertragbar; zeigt Leitlinien-Implementierungsbarrieren und notwendige Strukturreformen</w:t>
      </w:r>
    </w:p>
    <w:p>
      <w:r>
        <w:rPr>
          <w:color w:val="5A7D3A"/>
          <w:sz w:val="18"/>
        </w:rPr>
        <w:t>https://pubmed.ncbi.nlm.nih.gov/42754283/</w:t>
      </w:r>
    </w:p>
    <w:p>
      <w:pPr>
        <w:pStyle w:val="Heading2"/>
      </w:pPr>
      <w:r>
        <w:t>Fußball-Gesundheitsprogramm: Wie Männer über Freizeitaktivitäten erreicht werden</w:t>
      </w:r>
    </w:p>
    <w:p>
      <w:r>
        <w:rPr>
          <w:i/>
          <w:color w:val="666666"/>
          <w:sz w:val="18"/>
        </w:rPr>
        <w:t>McDermott C et al.  ·  Health Promot Int  ·  01.09.2026  ·  PMID 42751981</w:t>
      </w:r>
    </w:p>
    <w:p>
      <w:r>
        <w:t>Qualitative Analyse, wie ein irisches Fußball-Kooperativ-Programm Männer mit höchstem Gesundheitsrisiko durch Geschlechtskultur und Organisationskultur erreicht und in Gesundheitsveränderung einbezieht.</w:t>
      </w:r>
    </w:p>
    <w:p>
      <w:r>
        <w:rPr>
          <w:b/>
        </w:rPr>
        <w:t xml:space="preserve">Ergebnis: </w:t>
      </w:r>
      <w:r>
        <w:t>Reflexive thematische Analyse von 33 Interviews ergab drei Themen: (1) Fußball funktioniert als kulturelle Annahme in Männeridentität ohne Gesundheitsrahmen; (2) die Organisationskultur der FC-Spiele passt zu und erhält bestehende Bedeutungsmuster durch Design, Zuverlässigkeit und inklusive Normen; (3) wenn diese Kulturen übereinstimmen, erleben Männer, die konventionelle Gesundheitsrouten meiden, bedeutungsvolle Gesundheits- und Sozialergebnisse. Dies zeigt einen Zugangsweg und eine Versorgungsmassnahme an – Geschlecht prägt sowohl die Barriere als auch die Lösung.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ähnliches Versicherungssystem; zeigt Versorgungszugangsbarriere und Lösungsweg für Männergesundheit</w:t>
      </w:r>
    </w:p>
    <w:p>
      <w:r>
        <w:rPr>
          <w:color w:val="5A7D3A"/>
          <w:sz w:val="18"/>
        </w:rPr>
        <w:t>https://pubmed.ncbi.nlm.nih.gov/42751981/</w:t>
      </w:r>
    </w:p>
    <w:p>
      <w:pPr>
        <w:pStyle w:val="Heading2"/>
      </w:pPr>
      <w:r>
        <w:t>Lithium: Frauen benötigen niedrigere Dosen, Dosisanpassung in der Schwangerschaft erforderlich</w:t>
      </w:r>
    </w:p>
    <w:p>
      <w:r>
        <w:rPr>
          <w:i/>
          <w:color w:val="666666"/>
          <w:sz w:val="18"/>
        </w:rPr>
        <w:t>Papapanagou Chroni M et al.  ·  Rev Med Suisse  ·  16.09.2026  ·  PMID 42750579</w:t>
      </w:r>
    </w:p>
    <w:p>
      <w:r>
        <w:t>Geschlechtsspezifische Dosierung von Lithium und Besonderheiten in der Perinatalzeit: Frauen benötigen niedrigere Dosen als Männer und haben erhöhtes Risiko für Nieren- und Schilddrüsennebenwirkungen.</w:t>
      </w:r>
    </w:p>
    <w:p>
      <w:r>
        <w:rPr>
          <w:b/>
        </w:rPr>
        <w:t xml:space="preserve">Ergebnis: </w:t>
      </w:r>
      <w:r>
        <w:t>Frauen benötigen niedrigere Lithium-Dosen als Männer. In der Schwangerschaft steigt die Lithium-Clearance um 30–50 %, weshalb häufige Dosisanpassungen auf therapeutische Serumkonzentrationen von 0,6–1,0 mmol/l erforderlich sind. Lithium ist mit moderatem erhöhtem Malformationsrisiko assoziiert (OR: 1,75–1,81), besonders kardiale Missbildungen, aber das absolute Risiko bleibt niedrig. Dies zeigt biologisch und pharmakokinetisch bedingte Unterschiede, die Dosierungsempfehlungen nach Geschlecht erfordern.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Schweiz/deutschsprachig, vergleichbare Versicherungssysteme, psychiatrische Standardpraxis</w:t>
      </w:r>
    </w:p>
    <w:p>
      <w:r>
        <w:rPr>
          <w:color w:val="5A7D3A"/>
          <w:sz w:val="18"/>
        </w:rPr>
        <w:t>https://pubmed.ncbi.nlm.nih.gov/42750579/</w:t>
      </w:r>
    </w:p>
    <w:p>
      <w:pPr>
        <w:pStyle w:val="Heading2"/>
      </w:pPr>
      <w:r>
        <w:t>Kreatinin-Referenzwerte bei Down-Syndrom: Geschlechts- und altersgerechte Kurven erforderlich</w:t>
      </w:r>
    </w:p>
    <w:p>
      <w:r>
        <w:rPr>
          <w:i/>
          <w:color w:val="666666"/>
          <w:sz w:val="18"/>
        </w:rPr>
        <w:t>Gür K et al.  ·  Eur J Pediatr  ·  16.09.2026  ·  PMID 42749794</w:t>
      </w:r>
    </w:p>
    <w:p>
      <w:r>
        <w:t>Entwicklung alters- und geschlechtsspezifischer Serum-Kreatinin-Referenzkurven für Kinder und Jugendliche mit Down-Syndrom zur verbesserten Nierenmonitorierung.</w:t>
      </w:r>
    </w:p>
    <w:p>
      <w:r>
        <w:rPr>
          <w:b/>
        </w:rPr>
        <w:t xml:space="preserve">Ergebnis: </w:t>
      </w:r>
      <w:r>
        <w:t>Serum-Kreatinin stieg nichtlinear mit dem Alter in beiden Geschlechtern mit progressiver Geschlechtertrennung in der Adoleszenz. Die 97,5. Perzentile betrug bei Jungen 0,44 mg/dL (39 μmol/L) in der frühen Kindheit und 1,32 mg/dL (117 μmol/L) mit 17–18 Jahren; bei Mädchen 0,42 mg/dL (37 μmol/L) bzw. 1,01 mg/dL (89 μmol/L). Dies zeigt biologische Unterschiede in der Nierenfunktion, die für die korrekte Interpretation von Kreatininwerten essentiell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größere Kohorte; geschlechtergetrennte Daten mit GAMLSS-Modellierung, methodisch übertragbar</w:t>
      </w:r>
    </w:p>
    <w:p>
      <w:r>
        <w:rPr>
          <w:color w:val="5A7D3A"/>
          <w:sz w:val="18"/>
        </w:rPr>
        <w:t>https://pubmed.ncbi.nlm.nih.gov/42749794/</w:t>
      </w:r>
    </w:p>
    <w:p>
      <w:pPr>
        <w:pStyle w:val="Heading2"/>
      </w:pPr>
      <w:r>
        <w:t>Depression bei trans Frauen mit HIV: Strukturelle Determinanten schwerer als individuelle Faktoren</w:t>
      </w:r>
    </w:p>
    <w:p>
      <w:r>
        <w:rPr>
          <w:i/>
          <w:color w:val="666666"/>
          <w:sz w:val="18"/>
        </w:rPr>
        <w:t>Van Huizen R et al.  ·  AIDS Behav  ·  05.06.2026  ·  PMID 42249232</w:t>
      </w:r>
    </w:p>
    <w:p>
      <w:r>
        <w:t>Bestimmung individueller, sozialer und struktureller Determinanten von Depression bei 493 transgeschlechtlichen Frauen mit HIV in Frankreich mittels modifizierter Poisson-Regression.</w:t>
      </w:r>
    </w:p>
    <w:p>
      <w:r>
        <w:rPr>
          <w:b/>
        </w:rPr>
        <w:t xml:space="preserve">Ergebnis: </w:t>
      </w:r>
      <w:r>
        <w:t>Ein Drittel (31 %) der Teilnehmerinnen zeigte moderate bis schwere Depression (PHQ-9 ≥ 8). Risikofaktoren in multivariater Analyse: Lebenslanges Gewalt erlebnis, Belästigung durch Fremde in öffentlichen Räumen wegen transgender Identität, finanzielle Schwierigkeiten, lange Verzögerung zwischen HIV-Diagnose und Therapiebeginn. Protektiv wirkten emotionale Unterstützung und aufmerksame HIV-Versorger. Das zeigt, dass soziale und strukturelle, nicht individuelle Faktoren dominieren – eine Zugangsbarrierenfrage, nicht primär biologisch begründet.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europäisches System; INSERM-Kohorte mit quantitativen Strukturdaten</w:t>
      </w:r>
    </w:p>
    <w:p>
      <w:r>
        <w:rPr>
          <w:color w:val="5A7D3A"/>
          <w:sz w:val="18"/>
        </w:rPr>
        <w:t>https://pubmed.ncbi.nlm.nih.gov/42249232/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