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08.10.2026  |  6 Studien  |  gender.m-vf.de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Sexualhormone bessern Screening für hepatische Steatose bei Diabetes Typ 2</w:t>
      </w:r>
    </w:p>
    <w:p>
      <w:r>
        <w:rPr>
          <w:i/>
          <w:color w:val="666666"/>
          <w:sz w:val="18"/>
        </w:rPr>
        <w:t>Li G et al.  ·  J Diabetes Res  ·  2026  ·  PMID 42841432</w:t>
      </w:r>
    </w:p>
    <w:p>
      <w:r>
        <w:t>Querschnittanalyse von 731 chinesischen T2DM-Patienten zur Assoziation von Testosteron und Estradiol mit metabolischer Dysfunktion-assoziierter Steatose (MASLD) und zum Vergleich hormongestützter Screeningmodelle mit etablierten noninvasiven Scores.</w:t>
      </w:r>
    </w:p>
    <w:p>
      <w:r>
        <w:rPr>
          <w:b/>
        </w:rPr>
        <w:t xml:space="preserve">Ergebnis: </w:t>
      </w:r>
      <w:r>
        <w:t>Bei Männern: höheres Testosteron, T/E2-Ratio, FSH und LH invers assoziiert mit MASLD; höheres DHEA positiv assoziiert. Bei Frauen: höheres DHEA positiv mit MASLD, Prolactin moderat invers. Nach Multivariable-Adjustierung: Testosteron bleibt unabhängig invers mit MASLD bei Männern assoziiert. Sexualhormonstützige Modelle zeigten bessere diskriminative Performance als konventionelle noninvasive Scores (Zahlen zur Effektgröße nicht genannt). Testosteron invers mit ApoB/ApoA1 bei Männern; Estradiol positiv mit eGFR bei Frauen. Biologischer Mechanismus nicht geprüft.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Prototyp für hormonabhängige Geschlechtsunterschiede in Stoffwechsel; begrenzte Übertragbarkeit ohne europäische Validierung.</w:t>
      </w:r>
    </w:p>
    <w:p>
      <w:r>
        <w:rPr>
          <w:color w:val="5A7D3A"/>
          <w:sz w:val="18"/>
        </w:rPr>
        <w:t>https://pubmed.ncbi.nlm.nih.gov/42841432/</w:t>
      </w:r>
    </w:p>
    <w:p>
      <w:pPr>
        <w:pStyle w:val="Heading2"/>
      </w:pPr>
      <w:r>
        <w:t>Geschlechtsunterschiede bei myotoner Dystrophie: Männer stärker neuromuskular belastet</w:t>
      </w:r>
    </w:p>
    <w:p>
      <w:r>
        <w:rPr>
          <w:i/>
          <w:color w:val="666666"/>
          <w:sz w:val="18"/>
        </w:rPr>
        <w:t>Azanjac Arsic A et al.  ·  J Neurol  ·  06.10.2026  ·  PMID 42839138</w:t>
      </w:r>
    </w:p>
    <w:p>
      <w:r>
        <w:t>Registeranalyse von 587 Patienten mit genetisch bestätigter DM1 und DM2 aus Serbien zur Erfassung geschlechtsspezifischer Unterschiede in Klinik, Verlauf und Multisystembefall.</w:t>
      </w:r>
    </w:p>
    <w:p>
      <w:r>
        <w:rPr>
          <w:b/>
        </w:rPr>
        <w:t xml:space="preserve">Ergebnis: </w:t>
      </w:r>
      <w:r>
        <w:t>Bei DM1 zeigten Männer stärkere neuromuskuläre Beteiligung (weniger Kraft distal oben/proximal unten, längere Myotoniedauer, höhere Dysarthrie-, Dysphagie-, Polyneuropathie-, Skelettdeformitäts- und Infertilitätsraten sowie mehr EKG-Auffälligkeiten). Bei DM2 wiesen Frauen (Übergewicht 1,5:1) stärkere Schwäche proximal unten und reduzierte Atemkapazität auf; Männer hatten höhere Raten für Myotoniedauer, Polyneuropathie, Kahlheit, Infertilität, Hyperglykämie und Schrittmacherimplantationen. Die biologische Basis dieser Unterschiede wird vermutet, aber nicht geprüft.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Registersystem, Klinikpopulation; Geschlechterunterschiede erfordern differenzierte klinische Risikostratifizierung.</w:t>
      </w:r>
    </w:p>
    <w:p>
      <w:r>
        <w:rPr>
          <w:color w:val="5A7D3A"/>
          <w:sz w:val="18"/>
        </w:rPr>
        <w:t>https://pubmed.ncbi.nlm.nih.gov/42839138/</w:t>
      </w:r>
    </w:p>
    <w:p>
      <w:pPr>
        <w:pStyle w:val="Heading2"/>
      </w:pPr>
      <w:r>
        <w:t>His-Ventrikular-Intervall kürzer bei Frauen: 40 ms vs. 47 ms (p&lt;0,001)</w:t>
      </w:r>
    </w:p>
    <w:p>
      <w:r>
        <w:rPr>
          <w:i/>
          <w:color w:val="666666"/>
          <w:sz w:val="18"/>
        </w:rPr>
        <w:t>Serban T et al.  ·  J Interv Card Electrophysiol  ·  18.09.2026  ·  PMID 42758258</w:t>
      </w:r>
    </w:p>
    <w:p>
      <w:r>
        <w:t>Prospektive Analyse von 67 Patienten (33 % Frauen) in Sinusrhythmus während AF-Ablation mit Hochdichte-Mapping zur Erfassung geschlechtsspezifischer Unterschiede in HV-Intervallen und deren Abhängigkeit vom Messorte..</w:t>
      </w:r>
    </w:p>
    <w:p>
      <w:r>
        <w:rPr>
          <w:b/>
        </w:rPr>
        <w:t xml:space="preserve">Ergebnis: </w:t>
      </w:r>
      <w:r>
        <w:t>Klinisches HV-Intervall 45±9 ms, signifikant kürzer bei Frauen (40 ms vs. 47 ms, p&lt;0,001). HV-proximal länger als distal (51±10 ms vs. 46±10 ms, p&lt;0,001) und Bundle (37±10 ms; p&lt;0,001). Abnorme HV (&gt;55 ms) häufiger mit proximalem Messung erfasst. Leitungsgeschwindigkeiten unterschieden sich nicht nach Geschlecht, korrelierten schwach mit Oberflächen-EKG. Biologische Basis des Geschlechtsunterschieds nicht untersucht, aber klinische Implikation für Interpretation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europäisches Versorgungssystem; zeigt Messbares Geschlechtsdimorphismus in der Elektrophysiologie – Diagnosekriterien müssen geschlechtsspezifisch kalibriert werden.</w:t>
      </w:r>
    </w:p>
    <w:p>
      <w:r>
        <w:rPr>
          <w:color w:val="5A7D3A"/>
          <w:sz w:val="18"/>
        </w:rPr>
        <w:t>https://pubmed.ncbi.nlm.nih.gov/42758258/</w:t>
      </w:r>
    </w:p>
    <w:p>
      <w:pPr>
        <w:pStyle w:val="Heading2"/>
      </w:pPr>
      <w:r>
        <w:t>Männer im fertilen Alter: 82–84 % haben ≥1 präkonzeptionalen Risikofaktor</w:t>
      </w:r>
    </w:p>
    <w:p>
      <w:r>
        <w:rPr>
          <w:i/>
          <w:color w:val="666666"/>
          <w:sz w:val="18"/>
        </w:rPr>
        <w:t>Francis LM et al.  ·  Public Health  ·  02.09.2026  ·  PMID 42685502</w:t>
      </w:r>
    </w:p>
    <w:p>
      <w:r>
        <w:t>Querschnittanalyse der Australian Longitudinal Study on Male Health (vier Wellen 2012–2022, n=8.727 bis 2.705 Männer 18–44 Jahre) zu Prävalenz von elf präkonzeptionalen Risikofaktoren und deren Assoziation mit sozialen Subgruppen.</w:t>
      </w:r>
    </w:p>
    <w:p>
      <w:r>
        <w:rPr>
          <w:b/>
        </w:rPr>
        <w:t xml:space="preserve">Ergebnis: </w:t>
      </w:r>
      <w:r>
        <w:t>82–84 % der Männer hatten ≥1 Risikofaktor, 48–53 % hatten ≥2. Häufigster Risiko: niedriger Obst-/Gemüsekonsum (76–77 %). Relative zu Kontrollgruppen: finanziell belastete Männer 45–50 % mehr Risikofaktoren, mit niedrigerer Bildung 18–30 % mehr, arbeitslos 19–32 % mehr, in Regional-/Remotelage 12–22 % mehr. Unterschiede nach Geschlecht nicht primär analysiert, aber Subgruppenanalyse zeigt Zugangsungleichgewicht nach sozialem 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Erkenntnisse zu sozialen Determinanten präkonzeptionaler Gesundheit übertragbar; Versorgungsgap in Männergesundheit evident.</w:t>
      </w:r>
    </w:p>
    <w:p>
      <w:r>
        <w:rPr>
          <w:color w:val="5A7D3A"/>
          <w:sz w:val="18"/>
        </w:rPr>
        <w:t>https://pubmed.ncbi.nlm.nih.gov/42685502/</w:t>
      </w:r>
    </w:p>
    <w:p>
      <w:pPr>
        <w:pStyle w:val="Heading2"/>
      </w:pPr>
      <w:r>
        <w:t>Krebsforschung: Frauendominierten Tumoren fehlen 3,7 % der Mittel</w:t>
      </w:r>
    </w:p>
    <w:p>
      <w:r>
        <w:rPr>
          <w:i/>
          <w:color w:val="666666"/>
          <w:sz w:val="18"/>
        </w:rPr>
        <w:t>Farre L et al.  ·  Soc Sci Med  ·  01.09.2026  ·  PMID 42685391</w:t>
      </w:r>
    </w:p>
    <w:p>
      <w:r>
        <w:t>Analyse von 1.078 EU-geförderten Krebsforschungsprojekten (2007–2023) zur Frage, ob die Mittelverteilung der Krankheitslast entspricht und welche Faktoren die Unterfinanzierung frauendominierter Malignome erklären.</w:t>
      </w:r>
    </w:p>
    <w:p>
      <w:r>
        <w:rPr>
          <w:b/>
        </w:rPr>
        <w:t xml:space="preserve">Ergebnis: </w:t>
      </w:r>
      <w:r>
        <w:t>Männerdominierte Krebsarten erhielten 3,7 % mehr Förderung als frauendominierte, auch nach Adjustierung für Krankheitslast (conditional). Die Unterfinanzierung wird durch Überrepräsentation männlicher Forscher in der Krebsforschung und höheren Anteil männlicher Evaluierungspanelistinnen erklärt – beides begünstigt Projekte zu männerdominierten Tumoren. Kein Beleg für Bestrafung weiblicher Forscherinnen, Unterschiede in Output oder Krankheitslast als Erklärung.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Routinedaten zu Forschungsförderung; zeigt strukturelles Zugangsungleichgewicht, nicht biologischen Geschlechterdimorphismus.</w:t>
      </w:r>
    </w:p>
    <w:p>
      <w:r>
        <w:rPr>
          <w:color w:val="5A7D3A"/>
          <w:sz w:val="18"/>
        </w:rPr>
        <w:t>https://pubmed.ncbi.nlm.nih.gov/42685391/</w:t>
      </w:r>
    </w:p>
    <w:p>
      <w:pPr>
        <w:pStyle w:val="Heading2"/>
      </w:pPr>
      <w:r>
        <w:t>Schistosomiasis bei sub-saharischen Migranten in Spanien: Frauen längere Zeit asymptomatisch, Männer mit Hämaturie</w:t>
      </w:r>
    </w:p>
    <w:p>
      <w:r>
        <w:rPr>
          <w:i/>
          <w:color w:val="666666"/>
          <w:sz w:val="18"/>
        </w:rPr>
        <w:t>Rodríguez-Pérez M et al.  ·  Am J Trop Med Hyg  ·  07.10.2026  ·  PMID 42624090</w:t>
      </w:r>
    </w:p>
    <w:p>
      <w:r>
        <w:t>Retrospektive Querschnittanalyse von 538 sub-saharischen Migranten (52,8 % Männer) in Nordspanien 2012–2023 mit Fokus auf geschlechtsspezifische klinische und diagnostische Unterschiede bei importierter Schistosomiasis.</w:t>
      </w:r>
    </w:p>
    <w:p>
      <w:r>
        <w:rPr>
          <w:b/>
        </w:rPr>
        <w:t xml:space="preserve">Ergebnis: </w:t>
      </w:r>
      <w:r>
        <w:t>121 Patienten (22,5 %) diagnostiziert, 59 Frauen (48,7 %). Frauen hatten längere Aufenthaltszeit vor Diagnose (39±59 vs. 30±37 Monate; p=0,037). 62,7 % der Frauen und 58 % der Männer asymptomatisch. Hämaturie ausschließlich bei Männern beobachtet (p=0,001) mit Blasenabnormitäten in 2 Fällen. Von 33 Frauen mit verfügbarer gynäkologischer Anamnese: 60,6 % berichteten reproduktive Morbidität (rezidivierende Fehlgeburten, Infertilität). Geschlechtsspezifische Organmanifestation gezeigt; Ursache (biologisch vs. Diagnostik-Bias) nicht untersucht.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(vergleichbar DACH); importierte Infektionen; zeigt Manifestationsunterschiede, nicht deren Mechanismus.</w:t>
      </w:r>
    </w:p>
    <w:p>
      <w:r>
        <w:rPr>
          <w:color w:val="5A7D3A"/>
          <w:sz w:val="18"/>
        </w:rPr>
        <w:t>https://pubmed.ncbi.nlm.nih.gov/42624090/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