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22.09.2026  |  6 Studien  |  gender.m-vf.de</w:t>
      </w:r>
    </w:p>
    <w:p>
      <w:pPr>
        <w:pStyle w:val="Heading1"/>
      </w:pPr>
      <w:r>
        <w:t>Aufgenommen am 22.09.2026</w:t>
      </w:r>
    </w:p>
    <w:p>
      <w:pPr>
        <w:pStyle w:val="Heading2"/>
      </w:pPr>
      <w:r>
        <w:t>Metakognitives Training bei Psychose: Geschlechter zeigen gleiche Symptombesserung</w:t>
      </w:r>
    </w:p>
    <w:p>
      <w:r>
        <w:rPr>
          <w:i/>
          <w:color w:val="666666"/>
          <w:sz w:val="18"/>
        </w:rPr>
        <w:t>Lamarca M et al.  ·  PLoS One  ·  21.09.2026  ·  PMID 42766584</w:t>
      </w:r>
    </w:p>
    <w:p>
      <w:r>
        <w:t>Retrospektive harmonisierte Analyse über 573 Patienten mit Schizophrenie-Spektrum-Störung aus internationalem Konsortium (PERMEPSY), die Metakognitives Training für Psychose erhielten, geschlechtsspezifische Effekte auf Symptomtrajektorien untersucht.</w:t>
      </w:r>
    </w:p>
    <w:p>
      <w:r>
        <w:rPr>
          <w:b/>
        </w:rPr>
        <w:t xml:space="preserve">Ergebnis: </w:t>
      </w:r>
      <w:r>
        <w:t>Metakognitives Training reduzierte positive, negative, allgemeine und Gesamtsymptome signifikant in der Gesamtstichprobe. Kein signifikanter Moderationseffekt des biologischen Geschlechts auf Symptomveränderungen (alle Domänen p&gt;0,05), trotz beobachteter Unterschiede in Ausgangssymptomprofilen.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Konsortiumsdaten – Vergleichbarkeit auf Deutschland abhängig von Implementierungstreue, keine spezifischen Anpassungen durch Geschlecht nötig.</w:t>
      </w:r>
    </w:p>
    <w:p>
      <w:r>
        <w:rPr>
          <w:color w:val="5A7D3A"/>
          <w:sz w:val="18"/>
        </w:rPr>
        <w:t>https://pubmed.ncbi.nlm.nih.gov/42766584/</w:t>
      </w:r>
    </w:p>
    <w:p>
      <w:pPr>
        <w:pStyle w:val="Heading2"/>
      </w:pPr>
      <w:r>
        <w:t>Clopidogrel reduziert kardiovaskuläre Ereignisse bei Frauen nach Koronarintervention</w:t>
      </w:r>
    </w:p>
    <w:p>
      <w:r>
        <w:rPr>
          <w:i/>
          <w:color w:val="666666"/>
          <w:sz w:val="18"/>
        </w:rPr>
        <w:t>Kwon W et al.  ·  EuroIntervention  ·  21.09.2026  ·  PMID 42765401</w:t>
      </w:r>
    </w:p>
    <w:p>
      <w:r>
        <w:t>Geschlechtsspezifische Analyse des SMART-CHOICE-3-Trials zu antiplateleteren Strategien nach perkutaner Koronarintervention (n=5.506, davon 1.002 Frauen) in Südkorea.</w:t>
      </w:r>
    </w:p>
    <w:p>
      <w:r>
        <w:rPr>
          <w:b/>
        </w:rPr>
        <w:t xml:space="preserve">Ergebnis: </w:t>
      </w:r>
      <w:r>
        <w:t>Clopidogrel senkte primären Endpunkt (Tod, Herzinfarkt, Schlaganfall) bei Frauen signifikant (4,3% vs. 9,4%, aHR 0,45, 95%-KI 0,24–0,85, p=0,014), nicht aber bei Männern (4,4% vs. 6,0%, aHR 0,77, p=0,116). Keine signifikante Interaktion zwischen Geschlecht und Therapie (p=0,288), daher konsistente Richtung in beiden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– Befund zur Arzneimittelwirksamkeit geschlechtsunabhängig übertragbar.</w:t>
      </w:r>
    </w:p>
    <w:p>
      <w:r>
        <w:rPr>
          <w:color w:val="5A7D3A"/>
          <w:sz w:val="18"/>
        </w:rPr>
        <w:t>https://pubmed.ncbi.nlm.nih.gov/42765401/</w:t>
      </w:r>
    </w:p>
    <w:p>
      <w:pPr>
        <w:pStyle w:val="Heading2"/>
      </w:pPr>
      <w:r>
        <w:t>Biomedizin auf männlichem Default-Modell: Geschlechtsgerechtigkeit erfordert strukturelle Reformen</w:t>
      </w:r>
    </w:p>
    <w:p>
      <w:r>
        <w:rPr>
          <w:i/>
          <w:color w:val="666666"/>
          <w:sz w:val="18"/>
        </w:rPr>
        <w:t>D'Archivio M et al.  ·  Ann Ist Super Sanita  ·  Juli 2026  ·  PMID 42742238</w:t>
      </w:r>
    </w:p>
    <w:p>
      <w:r>
        <w:t>Kommentar zur strukturellen Geschlechtsbias in Forschung und Klinik; analysiert, wie male-default-Paradigma zu diagnostischen Verzögerungen, inadäquaten Behandlungen und Ungleichheiten führt und warum geschlechtergetrennte Datenanalyse und Pharmakokinetik-Berücksichtigung systemisch notwendig sind.</w:t>
      </w:r>
    </w:p>
    <w:p>
      <w:r>
        <w:rPr>
          <w:b/>
        </w:rPr>
        <w:t xml:space="preserve">Ergebnis: </w:t>
      </w:r>
      <w:r>
        <w:t>Darlegung von Zellniveau-Unterschieden und unterschiedlichen Krankheitsmanifestatonen zwischen Geschlechtern, höhere Nebenwirkungsrisiken bei Frauen durch Nichtbeachtung geschlechtsspezifischer metabolischer Profile. Forderung: Mandatory Sex-disaggregated Reporting, Integration von Gender-responsive Variablen, Anerkennung, dass Frauen keine kleineren Männer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Kommentar aus italienischem Referenzzentrum für Geschlechtermedizin – zentrale Erkenntnisse zur Notwendigkeit struktureller Leitlinien-Integration in Deutschland unmittelbar übertragbar.</w:t>
      </w:r>
    </w:p>
    <w:p>
      <w:r>
        <w:rPr>
          <w:color w:val="5A7D3A"/>
          <w:sz w:val="18"/>
        </w:rPr>
        <w:t>https://pubmed.ncbi.nlm.nih.gov/42742238/</w:t>
      </w:r>
    </w:p>
    <w:p>
      <w:pPr>
        <w:pStyle w:val="Heading2"/>
      </w:pPr>
      <w:r>
        <w:t>Sturzbedingte Mortalität bei Zirrhose in USA: Geschlechtergap wächst</w:t>
      </w:r>
    </w:p>
    <w:p>
      <w:r>
        <w:rPr>
          <w:i/>
          <w:color w:val="666666"/>
          <w:sz w:val="18"/>
        </w:rPr>
        <w:t>Kerr LB et al.  ·  Medicine (Baltimore)  ·  11.09.2026  ·  PMID 42736796</w:t>
      </w:r>
    </w:p>
    <w:p>
      <w:r>
        <w:t>Bevölkerungsbasierte retrospektive Analyse von CDC-Routinedaten 1999–2023 zu Todesfällen mit Sturz als primäre Ursache und Zirrhose als Kofaktor (n=10.029 Fälle insgesamt).</w:t>
      </w:r>
    </w:p>
    <w:p>
      <w:r>
        <w:rPr>
          <w:b/>
        </w:rPr>
        <w:t xml:space="preserve">Ergebnis: </w:t>
      </w:r>
      <w:r>
        <w:t>Altersstandardisierte Mortalitätsrate stieg von 1,5 (1999) auf 5,5 pro 1 Mio. (2023). 2023 waren Raten bei Männern doppelt so hoch wie bei Frauen (7,31 vs. 4,02). Anstieg 1999–2017 um 4,65% p.a., dann 2017–2023 um 7,29% p.a. (p=0,004). Alter ≥65 Jahre zeigt stärkere Raten (9,28 vs. 3,40 für 45–64 Jahre).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USA-Routinedaten – begrenzte Übertragbarkeit, aber Präventionsbedarf (Sturzrisiko, Gebrechlichkeit) international relevant.</w:t>
      </w:r>
    </w:p>
    <w:p>
      <w:r>
        <w:rPr>
          <w:color w:val="5A7D3A"/>
          <w:sz w:val="18"/>
        </w:rPr>
        <w:t>https://pubmed.ncbi.nlm.nih.gov/42736796/</w:t>
      </w:r>
    </w:p>
    <w:p>
      <w:pPr>
        <w:pStyle w:val="Heading2"/>
      </w:pPr>
      <w:r>
        <w:t>Psychologische Kontrolle und Depression: Positivität schützt Mädchen, nicht Jungen</w:t>
      </w:r>
    </w:p>
    <w:p>
      <w:r>
        <w:rPr>
          <w:i/>
          <w:color w:val="666666"/>
          <w:sz w:val="18"/>
        </w:rPr>
        <w:t>Ding L et al.  ·  Res Child Adolesc Psychopathol  ·  08.09.2026  ·  PMID 42711574</w:t>
      </w:r>
    </w:p>
    <w:p>
      <w:r>
        <w:t>Longitudinale Studie über vier Wellen (6-Monats-Intervalle) bei 4.254 chinesischen Frühadoleszenten (55,5% Jungen, Alter 10–13 Jahre) zu reziproken Assoziationen zwischen elterlicher psychologischer Kontrolle und Depressionssymptomen und der mediierenden Rolle von Positivität.</w:t>
      </w:r>
    </w:p>
    <w:p>
      <w:r>
        <w:rPr>
          <w:b/>
        </w:rPr>
        <w:t xml:space="preserve">Ergebnis: </w:t>
      </w:r>
      <w:r>
        <w:t>Random-Intercept-Cross-Lagged-Panel-Modelle zeigten reziproke within-person-Assoziationen in Gesamtstichprobe und beiden Geschlechtern. Positivität mediierte bidirektionale Assoziationen in Gesamtstichprobe und bei Mädchen (partieller Mediationseffekt signifikant), aber nicht bei Jungen (p&gt;0,05). Befund deutet auf geschlechtsspezifische Schutzmechanismen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 mit großer Stichprobe; Geschlechtsunterschiede in Resilienzfaktoren können kulturübergreifend relevant sein, jedoch AWMF-Leitlinien zur Eltern-Kind-Prävention müssen geschlechtsspezifische Ansätze prüfen.</w:t>
      </w:r>
    </w:p>
    <w:p>
      <w:r>
        <w:rPr>
          <w:color w:val="5A7D3A"/>
          <w:sz w:val="18"/>
        </w:rPr>
        <w:t>https://pubmed.ncbi.nlm.nih.gov/42711574/</w:t>
      </w:r>
    </w:p>
    <w:p>
      <w:pPr>
        <w:pStyle w:val="Heading2"/>
      </w:pPr>
      <w:r>
        <w:t>LGBTQ+-Patienten mit Parkinson-Syndrom berichten mehr Angststörung und motorische Defizite</w:t>
      </w:r>
    </w:p>
    <w:p>
      <w:r>
        <w:rPr>
          <w:i/>
          <w:color w:val="666666"/>
          <w:sz w:val="18"/>
        </w:rPr>
        <w:t>Flatt J et al.  ·  Front Public Health  ·  24.08.2026  ·  PMID 42707080</w:t>
      </w:r>
    </w:p>
    <w:p>
      <w:r>
        <w:t>Nationale Querschnittstudie (2022–2025, n=254: 89 LGBTQ+, 165 nicht-LGBTQ+) zu Parkinson-Symptomen und Gesundheits-assoziiertem Outcome bei älteren Erwachsenen in USA; Vergleich der Symptombelastung und sozialen Determinanten.</w:t>
      </w:r>
    </w:p>
    <w:p>
      <w:r>
        <w:rPr>
          <w:b/>
        </w:rPr>
        <w:t xml:space="preserve">Ergebnis: </w:t>
      </w:r>
      <w:r>
        <w:t>LGBTQ+-Teilnehmer zeigten höhere Prävalenz von Angststörung (53,9% vs. 33,3%, p=0,002), moderate-schwere Motordefizite (32,2% vs. 19,4%, p=0,024) und Einsamkeit (18,8% vs. 8,5%, p=0,037) als nicht-LGBTQ+-Vergleichsgruppe. Jüngeres Alter, Rasse/Ethnizität und Diskriminierungserfahrung assoziiert mit höheren motorischen Symptomen. Kausalität nicht belegt.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USA-Konvenienzstichprobe – Diskriminierungserlebnis als Barrier-Mechanismus universell; Zugangsbarrien speziell für LGBTQ+ in deutschem System zu prüfen.</w:t>
      </w:r>
    </w:p>
    <w:p>
      <w:r>
        <w:rPr>
          <w:color w:val="5A7D3A"/>
          <w:sz w:val="18"/>
        </w:rPr>
        <w:t>https://pubmed.ncbi.nlm.nih.gov/42707080/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2026-09-22T06:00:00Z</dcterms:created>
  <dcterms:modified xsi:type="dcterms:W3CDTF">2026-09-22T06:00:00Z</dcterms:modified>
  <cp:category/>
</cp:coreProperties>
</file>