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11.10.2026  |  6 Studien  |  gender.m-vf.de</w:t>
      </w:r>
    </w:p>
    <w:p>
      <w:pPr>
        <w:pStyle w:val="Heading1"/>
      </w:pPr>
      <w:r>
        <w:t>Aufgenommen am 11.10.2026</w:t>
      </w:r>
    </w:p>
    <w:p>
      <w:pPr>
        <w:pStyle w:val="Heading2"/>
      </w:pPr>
      <w:r>
        <w:t>Krebsvorsorge bei LGBTQIA+: Strategien gegen Unterscreening in der Praxis</w:t>
      </w:r>
    </w:p>
    <w:p>
      <w:r>
        <w:rPr>
          <w:i/>
          <w:color w:val="666666"/>
          <w:sz w:val="18"/>
        </w:rPr>
        <w:t>Ruhl MJ  ·  Aust J Gen Pract  ·  Okt. 2026  ·  PMID 42849417</w:t>
      </w:r>
    </w:p>
    <w:p>
      <w:r>
        <w:t>Übersichtsartikel mit praktischen Empfehlungen für Hausärzte zur Verbesserung der Krebsvorsorge (Screening) bei LGBTQIA+-Personen, besonders transgender und geschlechterdiverse Menschen.</w:t>
      </w:r>
    </w:p>
    <w:p>
      <w:r>
        <w:rPr>
          <w:b/>
        </w:rPr>
        <w:t xml:space="preserve">Ergebnis: </w:t>
      </w:r>
      <w:r>
        <w:t>Kernempfehlungen: individualisierte Risikobewertung, Patientenedukation, Trainings für Praxisteam, LGBTQIA+-sensible Umgebungen. Transgender und geschlechterdiverse Menschen berichten höhere Diskriminierungs- und Zugangsbarrieren als andere LGBTQIA+-Gruppen. Spezifische Beispiele für Screening-Hinderungen (z.B. falsche Annahmen über Organhistorie).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aber generische Empfehlungen zur Versorgungsorganisation gelten für alle primärärztliche Systeme mit Gatekeeping.</w:t>
      </w:r>
    </w:p>
    <w:p>
      <w:r>
        <w:rPr>
          <w:color w:val="5A7D3A"/>
          <w:sz w:val="18"/>
        </w:rPr>
        <w:t>https://pubmed.ncbi.nlm.nih.gov/42849417/</w:t>
      </w:r>
    </w:p>
    <w:p>
      <w:pPr>
        <w:pStyle w:val="Heading2"/>
      </w:pPr>
      <w:r>
        <w:t>Geschlechtsangleichende Hormontherapie in der Hausarztpraxis: longitudinale Betreuung und Sicherheit</w:t>
      </w:r>
    </w:p>
    <w:p>
      <w:r>
        <w:rPr>
          <w:i/>
          <w:color w:val="666666"/>
          <w:sz w:val="18"/>
        </w:rPr>
        <w:t>Ruhl MJ  ·  Aust J Gen Pract  ·  Okt. 2026  ·  PMID 42849415</w:t>
      </w:r>
    </w:p>
    <w:p>
      <w:r>
        <w:t>Praktische Übersichtsarbeit für Hausärzte zur kontinuierlichen medizinischen Betreuung von transgender und geschlechtsdiversen Menschen unter geschlechtsangleichender Hormontherapie (GAHT), inklusiv kardiovaskuläre Gesundheit, psychische Gesundheit und Knochengesundheit.</w:t>
      </w:r>
    </w:p>
    <w:p>
      <w:r>
        <w:rPr>
          <w:b/>
        </w:rPr>
        <w:t xml:space="preserve">Ergebnis: </w:t>
      </w:r>
      <w:r>
        <w:t>Empfehlung: gleiche Langzeitmanagement-Tools für cisgender Patienten nutzen, mit wenigen trans-spezifischen Anpassungen. Abdeckung: kardiovaskuläres Risikomanagement, mentale Gesundheit, Knochengesundheit, sexuelle Gesundheit, Lebensstilfaktoren (Rauchen, Ernährung, Alkohol, körperliche Aktivität). Erklärt: GAHT erfordert Überwachung hormonabhängiger Risiken, aber Grundprinzipien der Prävention gelten.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 auf alle Hausarztpraxen mit Facharzt-Zugang zur Geschlechtsmedizin; konkrete Handlungsempfehlungen.</w:t>
      </w:r>
    </w:p>
    <w:p>
      <w:r>
        <w:rPr>
          <w:color w:val="5A7D3A"/>
          <w:sz w:val="18"/>
        </w:rPr>
        <w:t>https://pubmed.ncbi.nlm.nih.gov/42849415/</w:t>
      </w:r>
    </w:p>
    <w:p>
      <w:pPr>
        <w:pStyle w:val="Heading2"/>
      </w:pPr>
      <w:r>
        <w:t>Sexuelle Gesundheit bei LGBTQIA+: Kognitiv-verhaltenstherapie und Sexualmedizin integriert</w:t>
      </w:r>
    </w:p>
    <w:p>
      <w:r>
        <w:rPr>
          <w:i/>
          <w:color w:val="666666"/>
          <w:sz w:val="18"/>
        </w:rPr>
        <w:t>Einaudi G et al.  ·  J Sex Med  ·  07.10.2026  ·  PMID 42847759</w:t>
      </w:r>
    </w:p>
    <w:p>
      <w:r>
        <w:t>Italienische klinische Leitlinie (SITCC) entwickelt einen integrierten Rahmen für Sexualmedizin und Psychotherapie bei LGBTQIA+ mit Fokus auf geschlechtsspezifische sexuelle Dysfunktionen und Minderheitsstress.</w:t>
      </w:r>
    </w:p>
    <w:p>
      <w:r>
        <w:rPr>
          <w:b/>
        </w:rPr>
        <w:t xml:space="preserve">Ergebnis: </w:t>
      </w:r>
      <w:r>
        <w:t>Framework identifiziert Minderheitsstress als zentral; unterscheidet queer-spezifische Dysfunktionen (z.B. genito-pelvic pain bei WSW, Anodyspareunia bei MSM, Funktionsänderungen durch geschlechtsangleichende Hormontherapie). Stärkere Evidenz für gay/lesbian/transgender Menschen als für bisexuelle und intersex Personen. Trauma und Dissoziation als behandlungsrelevante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vergleichbares europäisches Gesundheitssystem, qualitative Leitlinie mit Versorgungsbezug.</w:t>
      </w:r>
    </w:p>
    <w:p>
      <w:r>
        <w:rPr>
          <w:color w:val="5A7D3A"/>
          <w:sz w:val="18"/>
        </w:rPr>
        <w:t>https://pubmed.ncbi.nlm.nih.gov/42847759/</w:t>
      </w:r>
    </w:p>
    <w:p>
      <w:pPr>
        <w:pStyle w:val="Heading2"/>
      </w:pPr>
      <w:r>
        <w:t>PrEP-Zugang bei trans Frauen in Asien: Strukturelle Barrieren überlagern individuelle Risiken</w:t>
      </w:r>
    </w:p>
    <w:p>
      <w:r>
        <w:rPr>
          <w:i/>
          <w:color w:val="666666"/>
          <w:sz w:val="18"/>
        </w:rPr>
        <w:t>Wolter A et al.  ·  J Int AIDS Soc  ·  Okt. 2026  ·  PMID 42845000</w:t>
      </w:r>
    </w:p>
    <w:p>
      <w:r>
        <w:t>Online-Querschnittstudie (PrEP APPEAL, 2022) mit 1.178 trans Frauen in 11 asiatischen Ländern untersucht PrEP-Bewusstsein, Nutzung und Zahlungsbereitschaft in Zusammenhang mit Zugang, Diskriminierung und Verhaltensrisiken.</w:t>
      </w:r>
    </w:p>
    <w:p>
      <w:r>
        <w:rPr>
          <w:b/>
        </w:rPr>
        <w:t xml:space="preserve">Ergebnis: </w:t>
      </w:r>
      <w:r>
        <w:t>80,0 % PrEP-Bewusstsein; 62,6 % unter Bewussten nutzen/nutzten PrEP, 78,1 % aktuell. Bei PrEP-naiven at-risk Frauen: 60,0 % willens, aber nur 34,0 % zahlungsbereit. Lebensalter (OR je Jahr = 0,94), Diskriminierung durch Healthcare-Personal (aOR = 0,66; 95%-KI [0,47, 0,93]) negativ assoziiert; Land-PrEP-Zugang (aOR = 4,34; 95%-KI [3,03, 6,21]) positiv. Zeigt: Zugang, nicht nur Biologie, bestimmt Outcome.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Struktur übertragbar; zeigt role von institutioneller Diskriminierung als Versorgungsbarriere.</w:t>
      </w:r>
    </w:p>
    <w:p>
      <w:r>
        <w:rPr>
          <w:color w:val="5A7D3A"/>
          <w:sz w:val="18"/>
        </w:rPr>
        <w:t>https://pubmed.ncbi.nlm.nih.gov/42845000/</w:t>
      </w:r>
    </w:p>
    <w:p>
      <w:pPr>
        <w:pStyle w:val="Heading2"/>
      </w:pPr>
      <w:r>
        <w:t>Balneotherapie bei Arthrose: Geschlechtsunterschiede in klinischen Ergebnissen</w:t>
      </w:r>
    </w:p>
    <w:p>
      <w:r>
        <w:rPr>
          <w:i/>
          <w:color w:val="666666"/>
          <w:sz w:val="18"/>
        </w:rPr>
        <w:t>Maccarone MC et al.  ·  Int J Biometeorol  ·  07.10.2026  ·  PMID 42841988</w:t>
      </w:r>
    </w:p>
    <w:p>
      <w:r>
        <w:t>Systematische Übersicht von 22 randomisierten Studien zur Balneotherapie bei Arthrose mit Analyse, ob Geschlecht die Behandlungsantwort beeinflusst.</w:t>
      </w:r>
    </w:p>
    <w:p>
      <w:r>
        <w:rPr>
          <w:b/>
        </w:rPr>
        <w:t xml:space="preserve">Ergebnis: </w:t>
      </w:r>
      <w:r>
        <w:t>Nur 1 von 21 RCTs analysierte Geschlecht als Effektmodifikator und fand signifikante Behandlung-×-Geschlecht-Wechselwirkungen für Schmerz, Steifheit, Funktion und Lebensqualität. 73,1 % der 2.211 Teilnehmenden waren weiblich; keine anderen Studien berichteten stratifizierte Outcomes. Biologie (Thermoregulation, Schmerzverarbeitung) könnte Unterschiede erklären, wurde aber nicht geprüft.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Österreich/Schweiz, aber Methodenpaper – zeigt Gap in Forschungsdesign auf, nicht Versorgungspraxis.</w:t>
      </w:r>
    </w:p>
    <w:p>
      <w:r>
        <w:rPr>
          <w:color w:val="5A7D3A"/>
          <w:sz w:val="18"/>
        </w:rPr>
        <w:t>https://pubmed.ncbi.nlm.nih.gov/42841988/</w:t>
      </w:r>
    </w:p>
    <w:p>
      <w:pPr>
        <w:pStyle w:val="Heading2"/>
      </w:pPr>
      <w:r>
        <w:t>Lungenkrebs bei Männern mit sexuellen Minderheiten: psychosoziale Faktoren verdoppeln Risiko</w:t>
      </w:r>
    </w:p>
    <w:p>
      <w:r>
        <w:rPr>
          <w:i/>
          <w:color w:val="666666"/>
          <w:sz w:val="18"/>
        </w:rPr>
        <w:t>Qian Y et al.  ·  AIDS Educ Prev  ·  Okt. 2026  ·  PMID 42841858</w:t>
      </w:r>
    </w:p>
    <w:p>
      <w:r>
        <w:t>Longitudinale Kohortenstudie (MACS, 1996-2022) mit 3.554 Männern, die sexuelle Minderheiten sind, untersucht die Kumulation von Depression, Rauchen, Alkohol und Polydroggebrauch als Lungenkrebs-Risiko.</w:t>
      </w:r>
    </w:p>
    <w:p>
      <w:r>
        <w:rPr>
          <w:b/>
        </w:rPr>
        <w:t xml:space="preserve">Ergebnis: </w:t>
      </w:r>
      <w:r>
        <w:t>Dosisabhängige Assoziation: Männer mit 2 Risikofaktoren (adjustierte HR = 3,80; 95%-KI [1,46, 9,86]), mit 3+ Faktoren (aHR = 8,33; 95%-KI [2,20, 31,60]) vs. null Faktoren. Männer mit HIV stärker betroffen als ohne HIV. Zeigt psychosoziale Faktoren, nicht nur biologisches Geschlecht.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USA-Kohortenstudie, aber klinische Risikofaktoren und Screening sind übertragbar; Empfehlung für Depression/Substanzbehandlung.</w:t>
      </w:r>
    </w:p>
    <w:p>
      <w:r>
        <w:rPr>
          <w:color w:val="5A7D3A"/>
          <w:sz w:val="18"/>
        </w:rPr>
        <w:t>https://pubmed.ncbi.nlm.nih.gov/42841858/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2026-10-11T06:00:00Z</dcterms:created>
  <dcterms:modified xsi:type="dcterms:W3CDTF">2026-10-11T06:00:00Z</dcterms:modified>
  <cp:category/>
</cp:coreProperties>
</file>