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11.10.2026  |  295 Studien  |  gender.m-vf.de</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Shaikh MO et al.  ·  J Pak Med Assoc  ·  Sept. 2026  ·  PMID 42817676</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https://pubmed.ncbi.nlm.nih.gov/42817676/</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in der Primärversorgung: Überblick über europäische und spanische Studien</w:t>
      </w:r>
    </w:p>
    <w:p>
      <w:r>
        <w:rPr>
          <w:i/>
          <w:color w:val="666666"/>
          <w:sz w:val="18"/>
        </w:rPr>
        <w:t>Obón-Azuara B et al.  ·  Aten Primaria  ·  23.09.2026  ·  PMID 42777465</w:t>
      </w:r>
    </w:p>
    <w:p>
      <w:r>
        <w:t>Scoping-Review (PRISMA-ScR) der Spanischen Gesellschaft analysierte 250 Studien (1999-2026) zur Frage, ob geschlechtsspezifische Unterschiede in Low-Value Practices (unnötige oder schädliche Maßnahmen) in der Primärversorgung existieren. Schwerpunkt auf spanische Kohorten (APEAS, EVADUR).</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Gründungsstudie hat Geschlecht als primären Determinanten analysiert. Empfehlung: Geschlechtsgetrennte Auswertung und SAGER-Richtlinien obligatorisch für sichere Primärversorgung. Mechanismus: Zuschreibung durch Behandelnde + Zugangsunterschiede + Diagnoseverzerrung.</w:t>
      </w:r>
    </w:p>
    <w:p>
      <w:r>
        <w:rPr>
          <w:b/>
          <w:sz w:val="19"/>
        </w:rPr>
        <w:t xml:space="preserve">Übertragbarkeit: </w:t>
      </w:r>
      <w:r>
        <w:rPr>
          <w:sz w:val="19"/>
        </w:rPr>
        <w:t>Spanien, deutschsprachiger Kulturkreis, vergleichbares Primärversorgungs-System; deutsche Studien als Vergleich einbezogen.</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