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23.09.2026  |  7 Studien  |  gender.m-vf.de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Geschlechtsspezifische Atemmuskelkraft-Grenzwerte älterer Frauen</w:t>
      </w:r>
    </w:p>
    <w:p>
      <w:r>
        <w:rPr>
          <w:i/>
          <w:color w:val="666666"/>
          <w:sz w:val="18"/>
        </w:rPr>
        <w:t>Park TS et al.  ·  J Korean Med Sci  ·  21.09.2026  ·  PMID 42773075</w:t>
      </w:r>
    </w:p>
    <w:p>
      <w:r>
        <w:t>Querschnittstudie mit 88 älteren Frauen (≥65 Jahre), um geschlechtsspezifische Cut-off-Werte für maximalen inspiratorischen und exspiratorischen Druck als Screening-Tool für Atemmuskel-Sarcopenie zu etablieren.</w:t>
      </w:r>
    </w:p>
    <w:p>
      <w:r>
        <w:rPr>
          <w:b/>
        </w:rPr>
        <w:t xml:space="preserve">Ergebnis: </w:t>
      </w:r>
      <w:r>
        <w:t>ROC-abgeleitete Cut-off-Werte: MIP 28,50 cmH₂O (AUC 0,81, 95%-KI 0,70-0,93), MEP 49,50 cmH₂O (AUC 0,78, 95%-KI 0,64-0,92). MIP und MEP korrelieren signifikant mit Handgriffkraft (r=0,318 u. 0,323) und Muskelmasse-Index (r=0,291 u. 0,255). Geschlechts- und altersgerechte Werte verbessern diagnostische Präzision.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- Validierungsstudie mit biologischen Messwerten, Übertragbarkeit auf europäische ältere Bevölkerungen</w:t>
      </w:r>
    </w:p>
    <w:p>
      <w:r>
        <w:rPr>
          <w:color w:val="5A7D3A"/>
          <w:sz w:val="18"/>
        </w:rPr>
        <w:t>https://pubmed.ncbi.nlm.nih.gov/42773075/</w:t>
      </w:r>
    </w:p>
    <w:p>
      <w:pPr>
        <w:pStyle w:val="Heading2"/>
      </w:pPr>
      <w:r>
        <w:t>Geschlechterunterschiede in Lippenspalten variieren nach Typ und Ausprägung</w:t>
      </w:r>
    </w:p>
    <w:p>
      <w:r>
        <w:rPr>
          <w:i/>
          <w:color w:val="666666"/>
          <w:sz w:val="18"/>
        </w:rPr>
        <w:t>Yanagisawa H et al.  ·  Congenit Anom (Kyoto)  ·  Jan. 2026  ·  PMID 42768403</w:t>
      </w:r>
    </w:p>
    <w:p>
      <w:r>
        <w:t>Retrospektive Kohortenstudie mit 4.548 japanischen Patienten mit Lippen-Kiefer-Gaumenspalten, um geschlechtsspezifische Unterschiede in Prävalenz und Ausprägung zu untersuchen.</w:t>
      </w:r>
    </w:p>
    <w:p>
      <w:r>
        <w:rPr>
          <w:b/>
        </w:rPr>
        <w:t xml:space="preserve">Ergebnis: </w:t>
      </w:r>
      <w:r>
        <w:t>Männer zeigten Übergewicht bei Lippenspalten und kombinierten Spalten (besonders unvollständig); Frauen bei isolierten Gaumenspalten (stärker bei Hard-palate-Beteiligung). Der Geschlechtsunterschied variiert mit Spalttyp, Seitigkeit und Ausmaß: Männer überwiegen bei leichteren CL/CLP, Frauen bei schwerereren CP-Formen.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- Kohortenbasis, Geschlechtsunterschiede in Entwicklungsstörungen sind international vergleichbar</w:t>
      </w:r>
    </w:p>
    <w:p>
      <w:r>
        <w:rPr>
          <w:color w:val="5A7D3A"/>
          <w:sz w:val="18"/>
        </w:rPr>
        <w:t>https://pubmed.ncbi.nlm.nih.gov/42768403/</w:t>
      </w:r>
    </w:p>
    <w:p>
      <w:pPr>
        <w:pStyle w:val="Heading2"/>
      </w:pPr>
      <w:r>
        <w:t>Angststörungen in Kolumbien: Geschlechtsspezifische Belastung 2016-2022</w:t>
      </w:r>
    </w:p>
    <w:p>
      <w:r>
        <w:rPr>
          <w:i/>
          <w:color w:val="666666"/>
          <w:sz w:val="18"/>
        </w:rPr>
        <w:t>Gutierrez-Lesmes OA et al.  ·  Popul Health Metr  ·  15.09.2026  ·  PMID 42768356</w:t>
      </w:r>
    </w:p>
    <w:p>
      <w:r>
        <w:t>Longitudinale ökologische Studie mit administrativen Gesundheitsdaten zu Angststörungen in 32 kolumbianischen Departements mit Berechnung behinderungsadjustierter Lebensjahre (DALYs).</w:t>
      </w:r>
    </w:p>
    <w:p>
      <w:r>
        <w:rPr>
          <w:b/>
        </w:rPr>
        <w:t xml:space="preserve">Ergebnis: </w:t>
      </w:r>
      <w:r>
        <w:t>3.055.505 Fälle, 1.266.489 DALYs identifiziert. Altersstandardisierte DALY-Rate stieg von 177,9 (2016) auf 687,4 pro 100.000 (2022; jährliche Änderung +25,41%, 95%-KI 19,48-31,63). Frauen zeigten durchgehend höhere Belastung als Männer; erhebliche territoriale Ungleichheiten (Andean-Region am höchsten).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 - administrative Routinedaten zeigen geschlechterspezifische Muster, aber größere Ressourcendisparitäten zu Deutschland</w:t>
      </w:r>
    </w:p>
    <w:p>
      <w:r>
        <w:rPr>
          <w:color w:val="5A7D3A"/>
          <w:sz w:val="18"/>
        </w:rPr>
        <w:t>https://pubmed.ncbi.nlm.nih.gov/42768356/</w:t>
      </w:r>
    </w:p>
    <w:p>
      <w:pPr>
        <w:pStyle w:val="Heading2"/>
      </w:pPr>
      <w:r>
        <w:t>Psychische Belastung von Lesben und bisexuellen Frauen in chinesischen Hochschulen</w:t>
      </w:r>
    </w:p>
    <w:p>
      <w:r>
        <w:rPr>
          <w:i/>
          <w:color w:val="666666"/>
          <w:sz w:val="18"/>
        </w:rPr>
        <w:t>Liu Y  ·  Front Public Health  ·  28.08.2026  ·  PMID 42729124</w:t>
      </w:r>
    </w:p>
    <w:p>
      <w:r>
        <w:t>Qualitative Interviewstudie mit 8 selbstidentifizierten lesbischen/bisexuellen cisgender Frauen an chinesischen Universitäten, um Mechanismen von strukturiertem Stigma und psychischer Belastung zu untersuchen (Minority-Stress-Modell).</w:t>
      </w:r>
    </w:p>
    <w:p>
      <w:r>
        <w:rPr>
          <w:b/>
        </w:rPr>
        <w:t xml:space="preserve">Ergebnis: </w:t>
      </w:r>
      <w:r>
        <w:t>Fünf Themen identifiziert: (1) Strukturelle Ungleichheit als Angst und kognitive Wachsamkeit; (2) institutionelle Ressourcendeprivation; (3) erlebtes und internalisiertes Stigma (Scham, Identitätsverborgenheit, depressive Symptome); (4) intersektionale Unsichtbarkeit verstärkt Belastung; (5) institutionelle Unterstützung puffert ab. Drei Mediationspfade wirksam: sozial-kognitiv, emotional-regulatorisch, interpersonell.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qualitative Mechanismusforschung zu Zugangsbarr ieren und Stigma-Verarbeitung; Erkenntnisse zu Diskriminierungsvermeidung auf Versorgungsebene übertragbar</w:t>
      </w:r>
    </w:p>
    <w:p>
      <w:r>
        <w:rPr>
          <w:color w:val="5A7D3A"/>
          <w:sz w:val="18"/>
        </w:rPr>
        <w:t>https://pubmed.ncbi.nlm.nih.gov/42729124/</w:t>
      </w:r>
    </w:p>
    <w:p>
      <w:pPr>
        <w:pStyle w:val="Heading2"/>
      </w:pPr>
      <w:r>
        <w:t>Konversionspraktiken und psychische Gesundheit bei LGBTQ-Menschen in Portugal</w:t>
      </w:r>
    </w:p>
    <w:p>
      <w:r>
        <w:rPr>
          <w:i/>
          <w:color w:val="666666"/>
          <w:sz w:val="18"/>
        </w:rPr>
        <w:t>Costa PA et al.  ·  LGBT Health  ·  14.08.2026  ·  PMID 42598799</w:t>
      </w:r>
    </w:p>
    <w:p>
      <w:r>
        <w:t>Online-Querschnittsumfrage mit 424 sexuell und geschlechtlich diversen Personen zu Erfahrungen mit Konversionspraktiken und deren Assoziation mit psychischer Belastung (CORE-Outcome Measure).</w:t>
      </w:r>
    </w:p>
    <w:p>
      <w:r>
        <w:rPr>
          <w:b/>
        </w:rPr>
        <w:t xml:space="preserve">Ergebnis: </w:t>
      </w:r>
      <w:r>
        <w:t>21,7% (n=91) berichteten Konversionspraxis-Exposition, davon 22% durch Mental-Health-Professional durchgeführt; 38,5% suchten aktiv danach, 61,5% wurden dazu gedrängt/gezwungen. Durchschnittsalter bei Start: 16,5 Jahre. Teilnehmer mit Konversionserfahrung zeigten signifikant niedrigeres Wohlbefinden und Funktionsfähigkeit, höhere Symptombelastung (p&lt;0,05) als Nicht-Exponierte.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südliches Europa - EU-Kontext mit ähnlichen Schutzgesetzgebungsdefiziten; zeigt Versorgungsschaden durch schädliche Praktiken</w:t>
      </w:r>
    </w:p>
    <w:p>
      <w:r>
        <w:rPr>
          <w:color w:val="5A7D3A"/>
          <w:sz w:val="18"/>
        </w:rPr>
        <w:t>https://pubmed.ncbi.nlm.nih.gov/42598799/</w:t>
      </w:r>
    </w:p>
    <w:p>
      <w:pPr>
        <w:pStyle w:val="Heading2"/>
      </w:pPr>
      <w:r>
        <w:t>Proteasom-Biomarker bei Speiseröhrenkrebs: Geschlechtsspezifische Prognose</w:t>
      </w:r>
    </w:p>
    <w:p>
      <w:r>
        <w:rPr>
          <w:i/>
          <w:color w:val="666666"/>
          <w:sz w:val="18"/>
        </w:rPr>
        <w:t>Quaas A et al.  ·  Int J Cancer  ·  15.11.2026  ·  PMID 42581747</w:t>
      </w:r>
    </w:p>
    <w:p>
      <w:r>
        <w:t>Massenspektrometrie-basierte Proteomik an 92 Speiseröhrenadenokar zinomen (47 Frauen, 45 Männer) zur Identifikation von geschlechtsspezifischen Proteinmustern und Prognosesignaturen.</w:t>
      </w:r>
    </w:p>
    <w:p>
      <w:r>
        <w:rPr>
          <w:b/>
        </w:rPr>
        <w:t xml:space="preserve">Ergebnis: </w:t>
      </w:r>
      <w:r>
        <w:t>Schwangerschaftszone-Protein (PZP) erhöht in Frauentumoren, Y-Chromosome-Proteine (DDX3Y, RPS4Y1) in Männertumoren. Erhöhte PZP-Expression assoziiert mit signifikant schlechterer Gesamtüberlebensrate bei Männern (nicht bei Frauen/kombiniert). Geschlecht prägt immune Pathways und prognostische Protein-Landschaften.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- Grundlagenproteomik mit klinischer Outcome-Relevanz, übertragbar wenn in Routinepraxen eingeführt</w:t>
      </w:r>
    </w:p>
    <w:p>
      <w:r>
        <w:rPr>
          <w:color w:val="5A7D3A"/>
          <w:sz w:val="18"/>
        </w:rPr>
        <w:t>https://pubmed.ncbi.nlm.nih.gov/42581747/</w:t>
      </w:r>
    </w:p>
    <w:p>
      <w:pPr>
        <w:pStyle w:val="Heading2"/>
      </w:pPr>
      <w:r>
        <w:t>Kardiovaskuläres Risiko: Frauen sterben häufiger an Herzkrankheiten</w:t>
      </w:r>
    </w:p>
    <w:p>
      <w:r>
        <w:rPr>
          <w:i/>
          <w:color w:val="666666"/>
          <w:sz w:val="18"/>
        </w:rPr>
        <w:t>Mounier-Véhier C  ·  Rev Infirm  ·  01.06.2026  ·  PMID 42309640</w:t>
      </w:r>
    </w:p>
    <w:p>
      <w:r>
        <w:t>Meinungsbeitrag zur kardiovaskulären Mortalität bei Frauen in Frankreich, identifiziert modifizierbare Risikofaktoren und Rolle von Gesundheitsfachpersonen.</w:t>
      </w:r>
    </w:p>
    <w:p>
      <w:r>
        <w:rPr>
          <w:b/>
        </w:rPr>
        <w:t xml:space="preserve">Ergebnis: </w:t>
      </w:r>
      <w:r>
        <w:t>Kardiovaskuläre Erkrankung führende Todesursache bei Frauen in Frankreich. Unhealthy behaviors, inadequate care, lifestyle changes und geschlechtsspezifische Risikofaktoren als negative Determinanten. Gesundheitsfachpersonen spielen Schlüsselrolle bei Prävention und Aufklärung.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- vergleichbares westeuropäisches Sozialversicherungssystem, kardiovaskuläre Geschlechterdisparitäten in Präventionszugang</w:t>
      </w:r>
    </w:p>
    <w:p>
      <w:r>
        <w:rPr>
          <w:color w:val="5A7D3A"/>
          <w:sz w:val="18"/>
        </w:rPr>
        <w:t>https://pubmed.ncbi.nlm.nih.gov/42309640/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