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Geschlechtersensible Medizin</w:t>
      </w:r>
    </w:p>
    <w:p>
      <w:r>
        <w:rPr>
          <w:i/>
          <w:color w:val="666666"/>
          <w:sz w:val="18"/>
        </w:rPr>
        <w:t>Stand: 18.10.2026  |  5 Studien  |  gender.m-vf.de</w:t>
      </w:r>
    </w:p>
    <w:p>
      <w:pPr>
        <w:pStyle w:val="Heading1"/>
      </w:pPr>
      <w:r>
        <w:t>Aufgenommen am 18.10.2026</w:t>
      </w:r>
    </w:p>
    <w:p>
      <w:pPr>
        <w:pStyle w:val="Heading2"/>
      </w:pPr>
      <w:r>
        <w:t>Feinstaubbelastung wirkt bei Frauen stärker: Geschlecht als Risikofaktor in der Luftverschmutzung</w:t>
      </w:r>
    </w:p>
    <w:p>
      <w:r>
        <w:rPr>
          <w:i/>
          <w:color w:val="666666"/>
          <w:sz w:val="18"/>
        </w:rPr>
        <w:t>Sittitoon N et al.  ·  Front Public Health  ·  01.10.2026  ·  PMID 42889179</w:t>
      </w:r>
    </w:p>
    <w:p>
      <w:r>
        <w:t>Querschnittstudie mit 3.916 Erwachsenen in Thailand zur Frage, wie Geschlecht, Bildung und Schutzverhalten mit akuten Symptomen bei PM₂,₅-Exposition zusammenhängen.</w:t>
      </w:r>
    </w:p>
    <w:p>
      <w:r>
        <w:rPr>
          <w:b/>
        </w:rPr>
        <w:t xml:space="preserve">Ergebnis: </w:t>
      </w:r>
      <w:r>
        <w:t>Frauen zeigten höhere Odds für respiratorische und neurologische Symptome als Männer (nach Kontrolle für PM₂,₅-Exposition und Schutzverhalten). Respiratorische Symptome waren am häufigsten (80,7%), gefolgt von Augensymptomen (52,8%) und dermatologischen Symptomen (48,7%). Non-Compliance mit Schutzmaßnahmen war mit höheren Odds für respiratorische und neurologische Symptome assoziiert. Das Geschlecht beeinflusst sowohl die biologische Reaktion als auch die Befolgung von Schutzmaßnahmen.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Thailand, Routinedaten; Geschlechtermechanismen übertragbar, aber Luftqualitätssituation nicht vergleichbar mit Deutschland.</w:t>
      </w:r>
    </w:p>
    <w:p>
      <w:r>
        <w:rPr>
          <w:color w:val="5A7D3A"/>
          <w:sz w:val="18"/>
        </w:rPr>
        <w:t>https://pubmed.ncbi.nlm.nih.gov/42889179/</w:t>
      </w:r>
    </w:p>
    <w:p>
      <w:pPr>
        <w:pStyle w:val="Heading2"/>
      </w:pPr>
      <w:r>
        <w:t>Geschlechtergleichstellung wirkt nicht auf Krankheitslast: Panelanalyse der EU weist kein Signal</w:t>
      </w:r>
    </w:p>
    <w:p>
      <w:r>
        <w:rPr>
          <w:i/>
          <w:color w:val="666666"/>
          <w:sz w:val="18"/>
        </w:rPr>
        <w:t>Kisa A et al.  ·  Front Public Health  ·  01.10.2026  ·  PMID 42889109</w:t>
      </w:r>
    </w:p>
    <w:p>
      <w:r>
        <w:t>Ökologische Längszeitstudie mit 25 EU-Mitgliedstaaten (450 Land-Jahr-Beobachtungen) zur Frage, ob Veränderungen in Geschlechtergleichstellung (Global Gender Gap Index) mit altersadjustierter Gesamtkrankheitslast assoziiert sind.</w:t>
      </w:r>
    </w:p>
    <w:p>
      <w:r>
        <w:rPr>
          <w:b/>
        </w:rPr>
        <w:t xml:space="preserve">Ergebnis: </w:t>
      </w:r>
      <w:r>
        <w:t>Innerstaatliche Veränderungen im Gender Gap Index waren weder mit altersadjustierter DALY-Rate noch mit YLL/YLD-Ratio assoziiert (β=−19,1 pro 0,01 Anstieg; p=0,575). Robustheitschecks (Wild-Cluster-Bootstrap, Mundlak-Zerlegung, Vorpandemie-Periode) bestätigten Nullbefund. Der negative Querschnitts-Gradient verschwand nach Kontrolle. Breite Gleichstellungsindikatoren sind möglicherweise zu langsam oder zu allgemein, um Effekte auf Gesamtkrankheitslast zu zeigen.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25 EU-Länder, Routinedaten; deutsche Interpretation erfordert nationale Datenmodelle mit krankheitsspezifischen Ergebnissen.</w:t>
      </w:r>
    </w:p>
    <w:p>
      <w:r>
        <w:rPr>
          <w:color w:val="5A7D3A"/>
          <w:sz w:val="18"/>
        </w:rPr>
        <w:t>https://pubmed.ncbi.nlm.nih.gov/42889109/</w:t>
      </w:r>
    </w:p>
    <w:p>
      <w:pPr>
        <w:pStyle w:val="Heading2"/>
      </w:pPr>
      <w:r>
        <w:t>Wanderarbeiter in den USA: Männer verdienen mehr, aber niemand erhält Medikamente</w:t>
      </w:r>
    </w:p>
    <w:p>
      <w:r>
        <w:rPr>
          <w:i/>
          <w:color w:val="666666"/>
          <w:sz w:val="18"/>
        </w:rPr>
        <w:t>Payne-Sturges DC et al.  ·  Front Public Health  ·  01.10.2026  ·  PMID 42889058</w:t>
      </w:r>
    </w:p>
    <w:p>
      <w:r>
        <w:t>Querschnittsstudie mit 135 Saisonarbeitern in Maryland (84,3% Spanischsprachig, 15,7% Haitianisch-Kreolisch) zu Arbeitsbedingungen, Unterkunft, Gesundheit und Lohnungleichheiten nach Geschlecht und Herkunft.</w:t>
      </w:r>
    </w:p>
    <w:p>
      <w:r>
        <w:rPr>
          <w:b/>
        </w:rPr>
        <w:t xml:space="preserve">Ergebnis: </w:t>
      </w:r>
      <w:r>
        <w:t>Männer, H-2A-Visa-Inhaber und mexikanische Arbeiter verdienen signifikant häufiger ≥15 USD/h. Hypertension war die häufigste chronische Erkrankung, aber nicht alle Teilnehmer hatten Zugang zu notwendigen Medikamenten. Überbelegte Unterkünfte waren verbreitet. Geschlechtsspezifische Lohnunterschiede zeigen strukturelle Benachteiligung von Frauen; Zugang zu Versorgung ist systemisch beeinträchtigt, nicht individuell.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Migrantenpopulation; Lohnungleichheiten übertragbar, aber Arbeitsmarktsystem grundlegend verschieden von Deutschland.</w:t>
      </w:r>
    </w:p>
    <w:p>
      <w:r>
        <w:rPr>
          <w:color w:val="5A7D3A"/>
          <w:sz w:val="18"/>
        </w:rPr>
        <w:t>https://pubmed.ncbi.nlm.nih.gov/42889058/</w:t>
      </w:r>
    </w:p>
    <w:p>
      <w:pPr>
        <w:pStyle w:val="Heading2"/>
      </w:pPr>
      <w:r>
        <w:t>Cybermobbing wirkt stärker auf sexuelle und geschlechtliche Minderheiten: Minderheitenstress bei digitaler Gewalt</w:t>
      </w:r>
    </w:p>
    <w:p>
      <w:r>
        <w:rPr>
          <w:i/>
          <w:color w:val="666666"/>
          <w:sz w:val="18"/>
        </w:rPr>
        <w:t>Pu Y et al.  ·  J Res Adolesc  ·  Dez. 2026  ·  PMID 42888917</w:t>
      </w:r>
    </w:p>
    <w:p>
      <w:r>
        <w:t>Querschnittsstudie mit 12.773 US-Jugendlichen aus dem Youth Risk Behavior Survey 2023 zum Zusammenhang zwischen Social-Media-Nutzung, Cyberbullying und psychischer Belastung nach sexueller Orientierung und Geschlechtsidentität.</w:t>
      </w:r>
    </w:p>
    <w:p>
      <w:r>
        <w:rPr>
          <w:b/>
        </w:rPr>
        <w:t xml:space="preserve">Ergebnis: </w:t>
      </w:r>
      <w:r>
        <w:t>Sexuelle und geschlechtliche Minderheiten berichten bei ähnlicher Social-Media-Nutzung häufiger Cyberbullying-Exposition und größere psychische Belastung (Traurigkeit, Suizidgedanken) als Heterosexuelle und Cisgender-Peers. Der Zusammenhang zwischen höherer Mediennutzung und psychischer Belastung wird durch Cyberbullying erklärt. Minderheiten zeigen stärkere mentale Folgen von Bullying – Evidenz für Minderheitenstress.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nationale Schülerumfrage; Cyberbullying-Mechanismen grundsätzlich übertragbar, aber digitale Risikolandschaft in Deutschland teils verschieden.</w:t>
      </w:r>
    </w:p>
    <w:p>
      <w:r>
        <w:rPr>
          <w:color w:val="5A7D3A"/>
          <w:sz w:val="18"/>
        </w:rPr>
        <w:t>https://pubmed.ncbi.nlm.nih.gov/42888917/</w:t>
      </w:r>
    </w:p>
    <w:p>
      <w:pPr>
        <w:pStyle w:val="Heading2"/>
      </w:pPr>
      <w:r>
        <w:t>Depressionstest bei transgender Jugendlichen: Einziger Gesamtscore ist valide, nicht die Subskalen</w:t>
      </w:r>
    </w:p>
    <w:p>
      <w:r>
        <w:rPr>
          <w:i/>
          <w:color w:val="666666"/>
          <w:sz w:val="18"/>
        </w:rPr>
        <w:t>Doyle RL et al.  ·  Evid Based Pract Child Adolesc Ment Health  ·  29.06.2025  ·  PMID 42847875</w:t>
      </w:r>
    </w:p>
    <w:p>
      <w:r>
        <w:t>Validierungsstudie mit 182 Jugendlichen (10–17 Jahre) mit Geschlechtsinkongruenz an einer Klinik, die Faktorstruktur des Children's Depression Inventory 2nd Edition (CDI-2) mittels konfirmatorischer Faktorenanalyse überprüften.</w:t>
      </w:r>
    </w:p>
    <w:p>
      <w:r>
        <w:rPr>
          <w:b/>
        </w:rPr>
        <w:t xml:space="preserve">Ergebnis: </w:t>
      </w:r>
      <w:r>
        <w:t>Die von den Autoren vorgeschlagene Faktorstruktur passte nicht zu den Daten transgender und geschlechtsexpansiver Jugendlicher. Ein-Faktor-Modelle zeigten beste Passung. Jugendliche, denen bei Geburt weiblich zugeordnet wurde, berichteten höhere Selbst-Depression als solche, denen männlich zugeordnet wurde. Kliniker sollten nur Gesamtscores verwenden, nicht Subskalen.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Spezialklinik; Geschlechtsspezifische Depressionsraten bei transgender Jugendlichen übertragbar, aber US-Messinstrument erfordert deutsche Validierung.</w:t>
      </w:r>
    </w:p>
    <w:p>
      <w:r>
        <w:rPr>
          <w:color w:val="5A7D3A"/>
          <w:sz w:val="18"/>
        </w:rPr>
        <w:t>https://pubmed.ncbi.nlm.nih.gov/42847875/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Geschlechtersensible Medizin</dc:title>
  <dc:subject/>
  <dc:creator>Monitor Versorgungsforschung</dc:creator>
  <cp:keywords/>
  <dc:description>generated by python-docx</dc:description>
  <cp:lastModifiedBy/>
  <cp:revision>1</cp:revision>
  <dcterms:created xsi:type="dcterms:W3CDTF">2026-10-18T06:00:00Z</dcterms:created>
  <dcterms:modified xsi:type="dcterms:W3CDTF">2026-10-18T06:00:00Z</dcterms:modified>
  <cp:category/>
</cp:coreProperties>
</file>