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27.10.2026  |  6 Studien  |  gender.m-vf.de</w:t>
      </w:r>
    </w:p>
    <w:p>
      <w:pPr>
        <w:pStyle w:val="Heading1"/>
      </w:pPr>
      <w:r>
        <w:t>Aufgenommen am 27.10.2026</w:t>
      </w:r>
    </w:p>
    <w:p>
      <w:pPr>
        <w:pStyle w:val="Heading2"/>
      </w:pPr>
      <w:r>
        <w:t>Altersfeindlichkeit und Geschlecht: Frauen und Männer erleben ähnlich viel, aber mit unterschiedlichen Gesundheitsfolgen</w:t>
      </w:r>
    </w:p>
    <w:p>
      <w:r>
        <w:rPr>
          <w:i/>
          <w:color w:val="666666"/>
          <w:sz w:val="18"/>
        </w:rPr>
        <w:t>Li X et al.  ·  BMC Geriatr  ·  28.07.2026  ·  PMID 42928112</w:t>
      </w:r>
    </w:p>
    <w:p>
      <w:r>
        <w:t>Psychometrische Analyse der WHO Ageism Experiences Scale in vier Ländern (Moldawien, Kolumbien, Libyen, China; N=1.675) zur Untersuchung, ob Altersfeindlichkeit Frauen und Männer unterschiedlich trifft und mit unterschiedlichen Gesundheitskonsequenzen verbunden ist.</w:t>
      </w:r>
    </w:p>
    <w:p>
      <w:r>
        <w:rPr>
          <w:b/>
        </w:rPr>
        <w:t xml:space="preserve">Ergebnis: </w:t>
      </w:r>
      <w:r>
        <w:t>Keine signifikanten Unterschiede in der Häufigkeit von Altersfeindlichkeit zwischen Frauen und Männern (p&gt;0,05). Jedoch: Die Assoziationen zwischen Altersfeindlichkeit und Gesundheitsergebnissen waren signifikant stärker für Männer als für Frauen. Die Skala funktioniert invariant über Geschlechtsgruppen hinweg.</w:t>
      </w:r>
    </w:p>
    <w:p>
      <w:r>
        <w:rPr>
          <w:b/>
          <w:sz w:val="19"/>
        </w:rPr>
        <w:t xml:space="preserve">Übertragbarkeit: </w:t>
      </w:r>
      <w:r>
        <w:rPr>
          <w:sz w:val="19"/>
        </w:rPr>
        <w:t>Multisetting-Studie; internationale Vergleichbarkeit belegt, aber Übertragung auf Deutschland wegen Kontextunterschiede (Altersfeindlichkeit-Kultur) begrenzt.</w:t>
      </w:r>
    </w:p>
    <w:p>
      <w:r>
        <w:rPr>
          <w:color w:val="5A7D3A"/>
          <w:sz w:val="18"/>
        </w:rPr>
        <w:t>https://pubmed.ncbi.nlm.nih.gov/42928112/</w:t>
      </w:r>
    </w:p>
    <w:p>
      <w:pPr>
        <w:pStyle w:val="Heading2"/>
      </w:pPr>
      <w:r>
        <w:t>Versorgungszugang für trans Menschen in Brasilien: Primärversorgung reduziert negative Outcomes um 86 Prozent</w:t>
      </w:r>
    </w:p>
    <w:p>
      <w:r>
        <w:rPr>
          <w:i/>
          <w:color w:val="666666"/>
          <w:sz w:val="18"/>
        </w:rPr>
        <w:t>Freitas FLS et al.  ·  Epidemiol Serv Saude  ·  03.08.2026  ·  PMID 42922765</w:t>
      </w:r>
    </w:p>
    <w:p>
      <w:r>
        <w:t>Querschnittanalyse von 261 Krankenakten von trans Personen und Travestis an spezialisierter Ambulanz (57% trans Männer, 37,6% trans Frauen) zu Zugang zu Gesundheitsdiensten und Versorgungsmustern.</w:t>
      </w:r>
    </w:p>
    <w:p>
      <w:r>
        <w:rPr>
          <w:b/>
        </w:rPr>
        <w:t xml:space="preserve">Ergebnis: </w:t>
      </w:r>
      <w:r>
        <w:t>73,2% berichteten Diskriminierung; 49% der trans Frauen/Travestis begannen Transition ohne Unterstützung. Inanspruchnahme von Notfallleistungen 56,7% versus Primärversorgung 21,1%. Nutzung von Primärversorgung reduzierte Odds für negative Outcomes um 86% (OR 0,14; 95%CI 0,05; 0,37; p&lt;0,001). Psychische Störungen 46,4%.</w:t>
      </w:r>
    </w:p>
    <w:p>
      <w:r>
        <w:rPr>
          <w:b/>
          <w:sz w:val="19"/>
        </w:rPr>
        <w:t xml:space="preserve">Übertragbarkeit: </w:t>
      </w:r>
      <w:r>
        <w:rPr>
          <w:sz w:val="19"/>
        </w:rPr>
        <w:t>Brasilien; translatabel auf Deutschland, wo spezialisierte trans-Ambulanzen selten sind; zeigt Schutzeffekt von Gatekeeping-Versorgung.</w:t>
      </w:r>
    </w:p>
    <w:p>
      <w:r>
        <w:rPr>
          <w:color w:val="5A7D3A"/>
          <w:sz w:val="18"/>
        </w:rPr>
        <w:t>https://pubmed.ncbi.nlm.nih.gov/42922765/</w:t>
      </w:r>
    </w:p>
    <w:p>
      <w:pPr>
        <w:pStyle w:val="Heading2"/>
      </w:pPr>
      <w:r>
        <w:t>Polizeiausbildung: Frauen entwickeln doppelt so hohes Stressrisiko wie Männer während Feldpraktika</w:t>
      </w:r>
    </w:p>
    <w:p>
      <w:r>
        <w:rPr>
          <w:i/>
          <w:color w:val="666666"/>
          <w:sz w:val="18"/>
        </w:rPr>
        <w:t>Yevdokimova OO et al.  ·  Wiad Lek  ·  2026  ·  PMID 42922311</w:t>
      </w:r>
    </w:p>
    <w:p>
      <w:r>
        <w:t>Prä-Post-Vergleich psychosomatischer Stresssymptome bei 134 Polizeikadetten (71 Männer, 63 Frauen) während 4-wöchiger Feldausbildung unter Kriegsrecht, gemessen durch Stresstest nach Yu. V. Shcherbatykh.</w:t>
      </w:r>
    </w:p>
    <w:p>
      <w:r>
        <w:rPr>
          <w:b/>
        </w:rPr>
        <w:t xml:space="preserve">Ergebnis: </w:t>
      </w:r>
      <w:r>
        <w:t>Frauen zeigten ausgeprägteren Stress als Männer, besonders nach Feldpraktika. Psychoemotionale Symptome (Angst, Sorge, Niedergeschlagenheit, Entscheidungsschwäche); somatische Symptome (Kopfschmerzen, Müdigkeit, Schlafprobleme). Stressanstieg bei Männern 2,5 Punkte (p≤0,05), bei Frauen 5,3 Punkte (p≤0,001). Gesamtstresslevel nach Praktika bei Frauen um 3,3 Punkte höher als bei Männern (p≤0,01).</w:t>
      </w:r>
    </w:p>
    <w:p>
      <w:r>
        <w:rPr>
          <w:b/>
          <w:sz w:val="19"/>
        </w:rPr>
        <w:t xml:space="preserve">Übertragbarkeit: </w:t>
      </w:r>
      <w:r>
        <w:rPr>
          <w:sz w:val="19"/>
        </w:rPr>
        <w:t>Ukraine, unter Kriegsbedingungen; methodisch belastbar, aber Kontext (Martial Law) schränkt Übertragung auf Friedenszeiten-Deutschland ein.</w:t>
      </w:r>
    </w:p>
    <w:p>
      <w:r>
        <w:rPr>
          <w:color w:val="5A7D3A"/>
          <w:sz w:val="18"/>
        </w:rPr>
        <w:t>https://pubmed.ncbi.nlm.nih.gov/42922311/</w:t>
      </w:r>
    </w:p>
    <w:p>
      <w:pPr>
        <w:pStyle w:val="Heading2"/>
      </w:pPr>
      <w:r>
        <w:t>LGBTQ+-Versorgung in USA: Kluft zwischen Policy und Praxis durch mangelnde personale Diversität und Ressourcen</w:t>
      </w:r>
    </w:p>
    <w:p>
      <w:r>
        <w:rPr>
          <w:i/>
          <w:color w:val="666666"/>
          <w:sz w:val="18"/>
        </w:rPr>
        <w:t>Vazquez T et al.  ·  Behav Med  ·  21.10.2026  ·  PMID 42904427</w:t>
      </w:r>
    </w:p>
    <w:p>
      <w:r>
        <w:t>Qualitative Studie (33 Interviews, 1 Fokusgruppe) mit 35 Gesundheitsanbietern, Organisationen und LGBTQ+-Liaisons in Miami-Dade County zur Evaluation von Versorgungshindernissen und organisationalen Kapazitäten.</w:t>
      </w:r>
    </w:p>
    <w:p>
      <w:r>
        <w:rPr>
          <w:b/>
        </w:rPr>
        <w:t xml:space="preserve">Ergebnis: </w:t>
      </w:r>
      <w:r>
        <w:t>Sieben Kernthemen identifiziert: (1) Einfluss der politischen Lage auf Versorgung, (2) Barrieren bei Bereitstellung von Gesundheits- und Sozialleistungen, (3) Mangel an Personalvielfalt und kultureller Kompetenz, (4) Schaffung sicherer Räume, (5) geringe organisationale Kapazität, (6) Vertrauensprobleme, (7) Mangel an LGBTQ+-spezifischen Daten. Anbieter berichten Kluft zwischen restriktiven Gesetzen und Versorgungsrealität sowie zwischen Zielen und Kapazität.</w:t>
      </w:r>
    </w:p>
    <w:p>
      <w:r>
        <w:rPr>
          <w:b/>
          <w:sz w:val="19"/>
        </w:rPr>
        <w:t xml:space="preserve">Übertragbarkeit: </w:t>
      </w:r>
      <w:r>
        <w:rPr>
          <w:sz w:val="19"/>
        </w:rPr>
        <w:t>USA; begrenzt übertragbar; zeigt aber strukturelle Barrieren, die auch in Deutschland relevant sind, wo spezialisierte LGBTQ+-Dienste fragmentiert sind.</w:t>
      </w:r>
    </w:p>
    <w:p>
      <w:r>
        <w:rPr>
          <w:color w:val="5A7D3A"/>
          <w:sz w:val="18"/>
        </w:rPr>
        <w:t>https://pubmed.ncbi.nlm.nih.gov/42904427/</w:t>
      </w:r>
    </w:p>
    <w:p>
      <w:pPr>
        <w:pStyle w:val="Heading2"/>
      </w:pPr>
      <w:r>
        <w:t>Männergesundheit: Von individuellen zu relationalen Erklärungen – Versorgungsmodelle müssen institutionelle Kontexte adressieren</w:t>
      </w:r>
    </w:p>
    <w:p>
      <w:r>
        <w:rPr>
          <w:i/>
          <w:color w:val="666666"/>
          <w:sz w:val="18"/>
        </w:rPr>
        <w:t>Galdas P  ·  Am J Mens Health  ·  14.10.2026  ·  PMID 42874072</w:t>
      </w:r>
    </w:p>
    <w:p>
      <w:r>
        <w:t>Konzeptionelle Analyse der Rolle von Männlichkeit in Versorgungsforschung und -policy: Wie werden Geschlechterdifferenzen in Männergesundheit erklärt und wo sollten Interventionen ansetzen?</w:t>
      </w:r>
    </w:p>
    <w:p>
      <w:r>
        <w:rPr>
          <w:b/>
        </w:rPr>
        <w:t xml:space="preserve">Ergebnis: </w:t>
      </w:r>
      <w:r>
        <w:t>Kritik: Bisherige Forschung operationalisiert Männlichkeit über individuelle Maße (Einstellungen, Rollenkonformität) und macht damit den einzelnen Mann zum Problem. Mechanismen, durch die Beziehungen, Institutionen und materielle Bedingungen geschlechtsspezifische Gesundheitspraktiken formen, bleiben ungeklärt. Empfehlung: Versorgungspolicy muss auf relationale Faktoren abzielen (Settings, die Praktiken Bedeutung geben; soziale Kosten; Verfügbarkeit von Alternativen), nicht nur auf individuelle Attribute.</w:t>
      </w:r>
    </w:p>
    <w:p>
      <w:r>
        <w:rPr>
          <w:b/>
          <w:sz w:val="19"/>
        </w:rPr>
        <w:t xml:space="preserve">Übertragbarkeit: </w:t>
      </w:r>
      <w:r>
        <w:rPr>
          <w:sz w:val="19"/>
        </w:rPr>
        <w:t>Konzeptionelle Arbeit; international gültig; für Deutschland relevant zur Revision von Versorgungsmodellen für Männer.</w:t>
      </w:r>
    </w:p>
    <w:p>
      <w:r>
        <w:rPr>
          <w:color w:val="5A7D3A"/>
          <w:sz w:val="18"/>
        </w:rPr>
        <w:t>https://pubmed.ncbi.nlm.nih.gov/42874072/</w:t>
      </w:r>
    </w:p>
    <w:p>
      <w:pPr>
        <w:pStyle w:val="Heading2"/>
      </w:pPr>
      <w:r>
        <w:t>Lebensqualität bei entzündlichen Gelenkerkrankungen: Geschlechtsunterschiede bleiben mechanistisch ungeklärt</w:t>
      </w:r>
    </w:p>
    <w:p>
      <w:r>
        <w:rPr>
          <w:i/>
          <w:color w:val="666666"/>
          <w:sz w:val="18"/>
        </w:rPr>
        <w:t>Hamamou A et al.  ·  J Autoimmun  ·  07.09.2026  ·  PMID 42705142</w:t>
      </w:r>
    </w:p>
    <w:p>
      <w:r>
        <w:t>Scoping Review von 30 Studien zu Geschlechterunterschieden in der gesundheitsbezogenen Lebensqualität bei axialer Spondylarthritis, Psoriasisarthritis und systemischer Sklerose.</w:t>
      </w:r>
    </w:p>
    <w:p>
      <w:r>
        <w:rPr>
          <w:b/>
        </w:rPr>
        <w:t xml:space="preserve">Ergebnis: </w:t>
      </w:r>
      <w:r>
        <w:t>Frauen/weibliche Patienten zeigen konsistent niedrigere Lebensqualität als Männer, besonders bei Psoriasisarthritis und axialer Spondylarthritis. Jedoch: Alle 30 Studien operationalisierten Geschlecht binär und nur auf Basis von biologischem Geschlecht ohne Messung psychosozialer oder geschlechtsbezogener Dimensionen. Mechanismen blieben daher unklar – es fehlt die Unterscheidung, ob biologische, psychosoziale oder geschlechtsbezogene Faktoren den Unterschied treiben.</w:t>
      </w:r>
    </w:p>
    <w:p>
      <w:r>
        <w:rPr>
          <w:b/>
          <w:sz w:val="19"/>
        </w:rPr>
        <w:t xml:space="preserve">Übertragbarkeit: </w:t>
      </w:r>
      <w:r>
        <w:rPr>
          <w:sz w:val="19"/>
        </w:rPr>
        <w:t>Niederlande, DACH-vergleichbares System; zeigt methodisches Defizit, das auf deutsche Studien übertragbar ist.</w:t>
      </w:r>
    </w:p>
    <w:p>
      <w:r>
        <w:rPr>
          <w:color w:val="5A7D3A"/>
          <w:sz w:val="18"/>
        </w:rPr>
        <w:t>https://pubmed.ncbi.nlm.nih.gov/42705142/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