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10.10.2026  |  7 Studien  |  gender.m-vf.de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Weibliches Geschlecht und Alzheimer: Amyloid-unabhängige Tau-Akkumulation im medialen Temporallappen</w:t>
      </w:r>
    </w:p>
    <w:p>
      <w:r>
        <w:rPr>
          <w:i/>
          <w:color w:val="666666"/>
          <w:sz w:val="18"/>
        </w:rPr>
        <w:t>Salvadó G et al.  ·  Acta Neuropathol  ·  09.10.2026  ·  PMID 42853420</w:t>
      </w:r>
    </w:p>
    <w:p>
      <w:r>
        <w:t>Neuropathologische Analyse zweier Kohorten (ROS/MAP n=1587, AZSAND n=963) zur Frage, ob APOE-ε4-Trägerstatus und weibliches Geschlecht über Amyloid-β-abhängige oder -unabhängige Mechanismen zu erhöhter MTL-Tau-Pathologie führen.</w:t>
      </w:r>
    </w:p>
    <w:p>
      <w:r>
        <w:rPr>
          <w:b/>
        </w:rPr>
        <w:t xml:space="preserve">Ergebnis: </w:t>
      </w:r>
      <w:r>
        <w:t>APOE-ε4 und weibliches Geschlecht waren beide mit signifikant erhöhter MTL-Tau-Pathologie assoziiert (p&lt;0,001). Nach gemeinsamer Kontrolle für globales und regionares Amyloid-β: APOE-ε4-Assoziation wurde nicht-signifikant (p≥0,19), aber weibliche-Geschlecht-Assoziation blieb robust (p≤0,004). Dies deutet auf unterschiedliche Pathomechanismen hin – APOE-ε4 über Amyloid, weibliches Geschlecht über zusätzliche amyloid-unabhängige Mechanismen.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Biobank; biologischer Unterschied (hormonabhängig?) geklärt, aber noch nicht therapeutisch adressiert – grundlagenorientiert.</w:t>
      </w:r>
    </w:p>
    <w:p>
      <w:r>
        <w:rPr>
          <w:color w:val="5A7D3A"/>
          <w:sz w:val="18"/>
        </w:rPr>
        <w:t>https://pubmed.ncbi.nlm.nih.gov/42853420/</w:t>
      </w:r>
    </w:p>
    <w:p>
      <w:pPr>
        <w:pStyle w:val="Heading2"/>
      </w:pPr>
      <w:r>
        <w:t>Typ-2-Diabetes und PFAS: Geschlechtsspezifische Risiken durch Lipidstoffwechsel</w:t>
      </w:r>
    </w:p>
    <w:p>
      <w:r>
        <w:rPr>
          <w:i/>
          <w:color w:val="666666"/>
          <w:sz w:val="18"/>
        </w:rPr>
        <w:t>Cheng X et al.  ·  Environ Health Perspect  ·  06.10.2026  ·  PMID 42852016</w:t>
      </w:r>
    </w:p>
    <w:p>
      <w:r>
        <w:t>Nested Case-Control-Studie (985 Paare) zur Frage, ob Geschlechtsunterschiede in der PFAS-Exposition und Diabetesrisiko durch genetische Anfälligkeit und Lipidprofile erklärbar sind.</w:t>
      </w:r>
    </w:p>
    <w:p>
      <w:r>
        <w:rPr>
          <w:b/>
        </w:rPr>
        <w:t xml:space="preserve">Ergebnis: </w:t>
      </w:r>
      <w:r>
        <w:t>Frauen zeigten assoziationen zwischen PFOA/PFNA und erhöhtem Typ-2-Diabetes-Risiko, Männer nicht. Ein Lipid-Score erklärte einen Teil dieser geschlechtsspezifischen Assoziation (50% Mediation bei CYP19A1-CC-Genotyp). Das Gen-Geschlecht-Interaktionsergebnis deutet auf hormonelle Pathways als Ursache hin, benötigt aber Bestätigung durch direkte Hormonmessungen.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geschlechtergetrennte Biomarkerdaten, Mechanismus (Biologie + Zugang) teilweise geklärt.</w:t>
      </w:r>
    </w:p>
    <w:p>
      <w:r>
        <w:rPr>
          <w:color w:val="5A7D3A"/>
          <w:sz w:val="18"/>
        </w:rPr>
        <w:t>https://pubmed.ncbi.nlm.nih.gov/42852016/</w:t>
      </w:r>
    </w:p>
    <w:p>
      <w:pPr>
        <w:pStyle w:val="Heading2"/>
      </w:pPr>
      <w:r>
        <w:t>Rimegepant zur Migräne-Kurzzeitprävention: Geschlechtsspezifische Unterschiede in Anwendung und Zufriedenheit</w:t>
      </w:r>
    </w:p>
    <w:p>
      <w:r>
        <w:rPr>
          <w:i/>
          <w:color w:val="666666"/>
          <w:sz w:val="18"/>
        </w:rPr>
        <w:t>Monteith T et al.  ·  Front Neurol  ·  24.09.2026  ·  PMID 42851312</w:t>
      </w:r>
    </w:p>
    <w:p>
      <w:r>
        <w:t>Querschnittsbefragung (n=152 mit Rimegepant, 64,5% Frauen) zu Gründen für Einsatz, Migräneauslösern und Zufriedenheit mit dem Medikament.</w:t>
      </w:r>
    </w:p>
    <w:p>
      <w:r>
        <w:rPr>
          <w:b/>
        </w:rPr>
        <w:t xml:space="preserve">Ergebnis: </w:t>
      </w:r>
      <w:r>
        <w:t>Frauen waren häufiger wegen ärztlicher Empfehlung, Häufigkeit und Schweregrad der Anfälle auf Rimegepant (69,4%, 43,9%, 43,9% vs. Männer 48,1%, 25,9%, 22,2%). Häufige Auslöser (Stress, Schlafstörungen, Lärm) waren bei Frauen ausgeprägter. ≥73% waren in beiden Gruppen ‚zufrieden' bis ‚äußerst zufrieden', Männer numerisch höher (94,4% vs. 73,0% bei Einmaldosis, p=0,08).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Einsatzweise über Zugang/Empfehlung (Behandlung) geklärt, aber Ursache der unterschiedlichen Provokation unklar.</w:t>
      </w:r>
    </w:p>
    <w:p>
      <w:r>
        <w:rPr>
          <w:color w:val="5A7D3A"/>
          <w:sz w:val="18"/>
        </w:rPr>
        <w:t>https://pubmed.ncbi.nlm.nih.gov/42851312/</w:t>
      </w:r>
    </w:p>
    <w:p>
      <w:pPr>
        <w:pStyle w:val="Heading2"/>
      </w:pPr>
      <w:r>
        <w:t>PrEP-Verordnung für Schwarze Frauen: Hybrid-Interventionsstudie in gynäkologischen Kliniken</w:t>
      </w:r>
    </w:p>
    <w:p>
      <w:r>
        <w:rPr>
          <w:i/>
          <w:color w:val="666666"/>
          <w:sz w:val="18"/>
        </w:rPr>
        <w:t>Mahone A et al.  ·  J Int AIDS Soc  ·  Okt. 2026  ·  PMID 42851030</w:t>
      </w:r>
    </w:p>
    <w:p>
      <w:r>
        <w:t>8-Monate-Pilot einer Implementierungsstrategie (PrEP4Her) in einer Gynäkologie-Klinik der Südstaaten zur Erhöhung von PrEP-Verordnungen für Schwarze Frauen; RE-AIM-Evaluation.</w:t>
      </w:r>
    </w:p>
    <w:p>
      <w:r>
        <w:rPr>
          <w:b/>
        </w:rPr>
        <w:t xml:space="preserve">Ergebnis: </w:t>
      </w:r>
      <w:r>
        <w:t>Von 1274 Erstkonsultationen (58% Schwarze Frauen, ø34 Jahre): 10 PrEP-Verordnungen durch 7 Verordnende, davon 9 an Schwarze Frauen. Aber: 85 Frauen mit PrEP-Indikation erhielten keine Verordnung. 43% der befragten Frauen berichteten Gespräche über PrEP mit Anbietern (signifikant unterschiedlich nach Rasse, p=0,02). Fidelity-/Effektivitätslücke deutet auf Barrieren im Versorgungszugang.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Zugangsweg (Gynäkologie statt spezialisierte HIV-Prävention) und Anbieter-Screening/Verordnungspraxis identifiziert, aber wegen anderer Sozialversicherung begrenzt übertragbar.</w:t>
      </w:r>
    </w:p>
    <w:p>
      <w:r>
        <w:rPr>
          <w:color w:val="5A7D3A"/>
          <w:sz w:val="18"/>
        </w:rPr>
        <w:t>https://pubmed.ncbi.nlm.nih.gov/42851030/</w:t>
      </w:r>
    </w:p>
    <w:p>
      <w:pPr>
        <w:pStyle w:val="Heading2"/>
      </w:pPr>
      <w:r>
        <w:t>Chronische Lebererkrankung und Pneumonie: Geschlechtsstratifizierte Sterblichkeitstrends USA 1999–2024</w:t>
      </w:r>
    </w:p>
    <w:p>
      <w:r>
        <w:rPr>
          <w:i/>
          <w:color w:val="666666"/>
          <w:sz w:val="18"/>
        </w:rPr>
        <w:t>Awais AM et al.  ·  BMC Gastroenterol  ·  01.10.2026  ·  PMID 42850594</w:t>
      </w:r>
    </w:p>
    <w:p>
      <w:r>
        <w:t>CDC-Sterbeurkunden-Datenanalyse (81.759 Todesfälle) zu zeitlichen Trends und demografischen Unterschieden in der Sterblichkeit mit Co-Nennung von chronischer Lebererkrankung und Pneumonie.</w:t>
      </w:r>
    </w:p>
    <w:p>
      <w:r>
        <w:rPr>
          <w:b/>
        </w:rPr>
        <w:t xml:space="preserve">Ergebnis: </w:t>
      </w:r>
      <w:r>
        <w:t>Männer verzeichneten durchgehend höhere Sterblichkeit als Frauen; Sterblichkeit stabil 1999–2018, Spitzenwert 2021, seitdem rückläufig aber über Vor-Pandemie-Niveau. Frauen zeigten signifikanten Gesamtanstieg, Männer nicht. Nicht-hispanische Native Americans/Alaska Native am höchsten betroffen (Anstieg 2018–2021, dann Rückgang). Südstaaten mit meisten Todesfällen, Westen mit höchster Rate. Nicht-metropolitan &gt; metropolitan.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USA-Routinedaten; Sterblichkeitsmuster dokumentiert, aber Kausalität (Biologie vs. Zugang) nicht geklärt – vorwiegend Beschreibung.</w:t>
      </w:r>
    </w:p>
    <w:p>
      <w:r>
        <w:rPr>
          <w:color w:val="5A7D3A"/>
          <w:sz w:val="18"/>
        </w:rPr>
        <w:t>https://pubmed.ncbi.nlm.nih.gov/42850594/</w:t>
      </w:r>
    </w:p>
    <w:p>
      <w:pPr>
        <w:pStyle w:val="Heading2"/>
      </w:pPr>
      <w:r>
        <w:t>Geschlechtsangleichende Stimmtherapie per App: Usability und Nutzereindrücke</w:t>
      </w:r>
    </w:p>
    <w:p>
      <w:r>
        <w:rPr>
          <w:i/>
          <w:color w:val="666666"/>
          <w:sz w:val="18"/>
        </w:rPr>
        <w:t>Alter IL et al.  ·  JMIR Mhealth Uhealth  ·  08.10.2026  ·  PMID 42849052</w:t>
      </w:r>
    </w:p>
    <w:p>
      <w:r>
        <w:t>Mixed-Methods-Pilotierung einer kostenlosen mobilen App (Attuned) für geschlechtsangleichende Stimmtraining (GAVT) bei 18 trans/gender-nonkonformen Erwachsenen: Baseline-Interview, 1 Woche App-Nutzung, Follow-up-Interview + standardisierte App-Evaluationsskalen.</w:t>
      </w:r>
    </w:p>
    <w:p>
      <w:r>
        <w:rPr>
          <w:b/>
        </w:rPr>
        <w:t xml:space="preserve">Ergebnis: </w:t>
      </w:r>
      <w:r>
        <w:t>Acht qualitative Themen: Stimme als zentraler Geschlechtsdeterminator, dysphorie-Prävalenz, Kostenschranken und Anbietermangel als Barrieren, unterstrukturierte kostenlose Ressourcen als untrustworthy. Post-Use positiv für strukturiertes Curriculum, Pitch-Tracker, Kostenlosigkeit; Kritik: fehlende individualisierte Rückmeldung. MARS 4,21/5 (SD 0,53), SUS 92,5/100 (SD 10,6), PEMAT Verständlichkeit/Umsetzbarkeit 100%, Lesbarkeit 8. Klasse. Begrenzt durch Acquiescence-Bias und Autoren-Bewertungsrollen.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digitale Lösung für bekannte Zugangsbarriere (Anbieter, Kosten); zu früh für Versorgungswirksamkeit.</w:t>
      </w:r>
    </w:p>
    <w:p>
      <w:r>
        <w:rPr>
          <w:color w:val="5A7D3A"/>
          <w:sz w:val="18"/>
        </w:rPr>
        <w:t>https://pubmed.ncbi.nlm.nih.gov/42849052/</w:t>
      </w:r>
    </w:p>
    <w:p>
      <w:pPr>
        <w:pStyle w:val="Heading2"/>
      </w:pPr>
      <w:r>
        <w:t>Männliche Geschlechternormen und COVID-19-Prävention: Längsschnittstudie US-amerikanischer Männer</w:t>
      </w:r>
    </w:p>
    <w:p>
      <w:r>
        <w:rPr>
          <w:i/>
          <w:color w:val="666666"/>
          <w:sz w:val="18"/>
        </w:rPr>
        <w:t>Peterson LM et al.  ·  Ann Behav Med  ·  07.01.2026  ·  PMID 42847390</w:t>
      </w:r>
    </w:p>
    <w:p>
      <w:r>
        <w:t>Longitudinalerhebung (n=355 amerikanische Männer, April/Mai 2020) mit Mediation über Krankheitsüberzeugungen: Endorsement von Männlichkeitsnormen → Überzeugung, dass Kraft vor COVID-19 schützt → niedrigere Präventionsabsichten → geringere Präventionsbeteiligung.</w:t>
      </w:r>
    </w:p>
    <w:p>
      <w:r>
        <w:rPr>
          <w:b/>
        </w:rPr>
        <w:t xml:space="preserve">Ergebnis: </w:t>
      </w:r>
      <w:r>
        <w:t>Män­nlichkeitsnormen-Endorsement sagte indirekt niedrigere COVID-19-Präventionsverhalten vorher (b=−0,0073, SE=0,0043, 95% CI −0,0172 bis −0,0004) und niedrigere Impfbereitschaft (b=−0,0073, SE=0,0046, 95% CI −0,0180 bis −0,0004) via Stärke-schützt-Überzeugung und reduzierte Absichten. Effekt über Demografie, politische Ausrichtung und regionalen Ausbruch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Ursache geklärt (Geschlechternormalisierung in Wahrnehmung und Risikoverhalten) – aber Maßnahmen-Test fehlt noch.</w:t>
      </w:r>
    </w:p>
    <w:p>
      <w:r>
        <w:rPr>
          <w:color w:val="5A7D3A"/>
          <w:sz w:val="18"/>
        </w:rPr>
        <w:t>https://pubmed.ncbi.nlm.nih.gov/42847390/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